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D0" w:rsidRDefault="00204ED0" w:rsidP="00204ED0">
      <w:pPr>
        <w:jc w:val="center"/>
        <w:rPr>
          <w:b/>
        </w:rPr>
      </w:pPr>
      <w:r w:rsidRPr="00204ED0">
        <w:rPr>
          <w:b/>
        </w:rPr>
        <w:t>TARSAP</w:t>
      </w:r>
      <w:r>
        <w:rPr>
          <w:b/>
        </w:rPr>
        <w:t xml:space="preserve"> Report - </w:t>
      </w:r>
      <w:r w:rsidRPr="00204ED0">
        <w:rPr>
          <w:b/>
        </w:rPr>
        <w:t>Parking Permit Charges Consultation</w:t>
      </w:r>
      <w:r>
        <w:rPr>
          <w:b/>
        </w:rPr>
        <w:t xml:space="preserve"> – 23</w:t>
      </w:r>
      <w:r w:rsidRPr="00204ED0">
        <w:rPr>
          <w:b/>
          <w:vertAlign w:val="superscript"/>
        </w:rPr>
        <w:t>rd</w:t>
      </w:r>
      <w:r>
        <w:rPr>
          <w:b/>
        </w:rPr>
        <w:t xml:space="preserve"> October 2019</w:t>
      </w:r>
    </w:p>
    <w:p w:rsidR="00665673" w:rsidRDefault="00204ED0" w:rsidP="00204ED0">
      <w:pPr>
        <w:jc w:val="center"/>
        <w:rPr>
          <w:b/>
        </w:rPr>
      </w:pPr>
      <w:r>
        <w:rPr>
          <w:b/>
        </w:rPr>
        <w:t>Update</w:t>
      </w:r>
      <w:r w:rsidR="003F080A">
        <w:rPr>
          <w:b/>
        </w:rPr>
        <w:t>d</w:t>
      </w:r>
      <w:r>
        <w:rPr>
          <w:b/>
        </w:rPr>
        <w:t xml:space="preserve"> results of consultation</w:t>
      </w:r>
      <w:bookmarkStart w:id="0" w:name="_GoBack"/>
      <w:bookmarkEnd w:id="0"/>
    </w:p>
    <w:p w:rsidR="00204ED0" w:rsidRDefault="00204ED0" w:rsidP="00204ED0">
      <w:pPr>
        <w:rPr>
          <w:b/>
        </w:rPr>
      </w:pPr>
    </w:p>
    <w:p w:rsidR="00204ED0" w:rsidRDefault="00204ED0" w:rsidP="00204ED0">
      <w:r w:rsidRPr="00204ED0">
        <w:t xml:space="preserve">This </w:t>
      </w:r>
      <w:r>
        <w:t xml:space="preserve">supplementary paper </w:t>
      </w:r>
      <w:r w:rsidRPr="00204ED0">
        <w:t>provides an update of the consultation results in the section of the report that explains the results of consultation.</w:t>
      </w:r>
      <w:r>
        <w:t xml:space="preserve"> The text is the same as the report in the agenda but with the number of responses to the questions and the associated percentages amended to reflect the final results.</w:t>
      </w:r>
    </w:p>
    <w:p w:rsidR="00204ED0" w:rsidRDefault="00204ED0" w:rsidP="00CC7D3F">
      <w:pPr>
        <w:rPr>
          <w:rFonts w:cs="Arial"/>
          <w:b/>
          <w:szCs w:val="24"/>
          <w:lang w:eastAsia="en-GB"/>
        </w:rPr>
      </w:pPr>
    </w:p>
    <w:p w:rsidR="00204ED0" w:rsidRDefault="00204ED0" w:rsidP="00CC7D3F">
      <w:pPr>
        <w:rPr>
          <w:rFonts w:cs="Arial"/>
          <w:b/>
          <w:szCs w:val="24"/>
          <w:lang w:eastAsia="en-GB"/>
        </w:rPr>
      </w:pPr>
    </w:p>
    <w:p w:rsidR="00204ED0" w:rsidRDefault="00204ED0" w:rsidP="00CC7D3F">
      <w:pPr>
        <w:rPr>
          <w:rFonts w:cs="Arial"/>
          <w:b/>
          <w:szCs w:val="24"/>
          <w:lang w:eastAsia="en-GB"/>
        </w:rPr>
      </w:pPr>
    </w:p>
    <w:p w:rsidR="00CC7D3F" w:rsidRDefault="00CC7D3F" w:rsidP="00CC7D3F">
      <w:pPr>
        <w:rPr>
          <w:rFonts w:cs="Arial"/>
          <w:b/>
          <w:szCs w:val="24"/>
          <w:lang w:eastAsia="en-GB"/>
        </w:rPr>
      </w:pPr>
      <w:r>
        <w:rPr>
          <w:rFonts w:cs="Arial"/>
          <w:b/>
          <w:szCs w:val="24"/>
          <w:lang w:eastAsia="en-GB"/>
        </w:rPr>
        <w:t>Results o</w:t>
      </w:r>
      <w:r w:rsidR="005936EF">
        <w:rPr>
          <w:rFonts w:cs="Arial"/>
          <w:b/>
          <w:szCs w:val="24"/>
          <w:lang w:eastAsia="en-GB"/>
        </w:rPr>
        <w:t>f</w:t>
      </w:r>
      <w:r>
        <w:rPr>
          <w:rFonts w:cs="Arial"/>
          <w:b/>
          <w:szCs w:val="24"/>
          <w:lang w:eastAsia="en-GB"/>
        </w:rPr>
        <w:t xml:space="preserve"> consultation</w:t>
      </w:r>
    </w:p>
    <w:p w:rsidR="00163138" w:rsidRPr="00163138" w:rsidRDefault="00163138" w:rsidP="00BF6DA1">
      <w:pPr>
        <w:pStyle w:val="BodyText"/>
        <w:tabs>
          <w:tab w:val="left" w:pos="851"/>
        </w:tabs>
        <w:ind w:left="851"/>
        <w:rPr>
          <w:i w:val="0"/>
          <w:szCs w:val="24"/>
        </w:rPr>
      </w:pPr>
    </w:p>
    <w:p w:rsidR="00CC7D3F" w:rsidRDefault="003776D1" w:rsidP="00BF6DA1">
      <w:pPr>
        <w:pStyle w:val="BodyText"/>
        <w:numPr>
          <w:ilvl w:val="0"/>
          <w:numId w:val="3"/>
        </w:numPr>
        <w:tabs>
          <w:tab w:val="clear" w:pos="720"/>
          <w:tab w:val="left" w:pos="851"/>
        </w:tabs>
        <w:ind w:left="851" w:hanging="851"/>
        <w:rPr>
          <w:i w:val="0"/>
          <w:szCs w:val="24"/>
        </w:rPr>
      </w:pPr>
      <w:r>
        <w:rPr>
          <w:i w:val="0"/>
          <w:szCs w:val="24"/>
        </w:rPr>
        <w:t xml:space="preserve">The public consultation document was published online </w:t>
      </w:r>
      <w:r w:rsidR="00884600">
        <w:rPr>
          <w:i w:val="0"/>
          <w:szCs w:val="24"/>
        </w:rPr>
        <w:t>on</w:t>
      </w:r>
      <w:r>
        <w:rPr>
          <w:i w:val="0"/>
          <w:szCs w:val="24"/>
        </w:rPr>
        <w:t xml:space="preserve"> the Council’s website </w:t>
      </w:r>
      <w:r w:rsidR="00884600">
        <w:rPr>
          <w:i w:val="0"/>
          <w:szCs w:val="24"/>
        </w:rPr>
        <w:t xml:space="preserve">via the </w:t>
      </w:r>
      <w:r>
        <w:rPr>
          <w:i w:val="0"/>
          <w:szCs w:val="24"/>
        </w:rPr>
        <w:t xml:space="preserve">public consultation portal. The consultation was open </w:t>
      </w:r>
      <w:r w:rsidRPr="003776D1">
        <w:rPr>
          <w:i w:val="0"/>
          <w:szCs w:val="24"/>
        </w:rPr>
        <w:t>for 6 weeks from Monday 9</w:t>
      </w:r>
      <w:r w:rsidRPr="00BF6DA1">
        <w:rPr>
          <w:i w:val="0"/>
          <w:szCs w:val="24"/>
        </w:rPr>
        <w:t>th</w:t>
      </w:r>
      <w:r>
        <w:rPr>
          <w:i w:val="0"/>
          <w:szCs w:val="24"/>
        </w:rPr>
        <w:t xml:space="preserve"> </w:t>
      </w:r>
      <w:r w:rsidRPr="003776D1">
        <w:rPr>
          <w:i w:val="0"/>
          <w:szCs w:val="24"/>
        </w:rPr>
        <w:t>September until Friday 18</w:t>
      </w:r>
      <w:r w:rsidRPr="00BF6DA1">
        <w:rPr>
          <w:i w:val="0"/>
          <w:szCs w:val="24"/>
        </w:rPr>
        <w:t>th</w:t>
      </w:r>
      <w:r>
        <w:rPr>
          <w:i w:val="0"/>
          <w:szCs w:val="24"/>
        </w:rPr>
        <w:t xml:space="preserve"> </w:t>
      </w:r>
      <w:r w:rsidRPr="003776D1">
        <w:rPr>
          <w:i w:val="0"/>
          <w:szCs w:val="24"/>
        </w:rPr>
        <w:t>October 2019</w:t>
      </w:r>
      <w:r>
        <w:rPr>
          <w:i w:val="0"/>
          <w:szCs w:val="24"/>
        </w:rPr>
        <w:t>. Posters advertising the consultation were also put up in all Council libraries borough wide and a press</w:t>
      </w:r>
      <w:r w:rsidR="00656DEA">
        <w:rPr>
          <w:i w:val="0"/>
          <w:szCs w:val="24"/>
        </w:rPr>
        <w:t xml:space="preserve"> release issued </w:t>
      </w:r>
      <w:r w:rsidR="00CF24C9">
        <w:rPr>
          <w:i w:val="0"/>
          <w:szCs w:val="24"/>
        </w:rPr>
        <w:t xml:space="preserve">by the communications team </w:t>
      </w:r>
      <w:r w:rsidR="00656DEA">
        <w:rPr>
          <w:i w:val="0"/>
          <w:szCs w:val="24"/>
        </w:rPr>
        <w:t>to publicise the consultation.</w:t>
      </w:r>
    </w:p>
    <w:p w:rsidR="00656DEA" w:rsidRDefault="00656DEA" w:rsidP="00656DEA">
      <w:pPr>
        <w:pStyle w:val="BodyText"/>
        <w:tabs>
          <w:tab w:val="left" w:pos="851"/>
        </w:tabs>
        <w:ind w:left="851"/>
        <w:rPr>
          <w:i w:val="0"/>
          <w:szCs w:val="24"/>
        </w:rPr>
      </w:pPr>
    </w:p>
    <w:p w:rsidR="00656DEA" w:rsidRDefault="00656DEA" w:rsidP="003776D1">
      <w:pPr>
        <w:pStyle w:val="BodyText"/>
        <w:numPr>
          <w:ilvl w:val="0"/>
          <w:numId w:val="3"/>
        </w:numPr>
        <w:tabs>
          <w:tab w:val="clear" w:pos="720"/>
          <w:tab w:val="left" w:pos="851"/>
        </w:tabs>
        <w:ind w:left="851" w:hanging="851"/>
        <w:rPr>
          <w:i w:val="0"/>
          <w:szCs w:val="24"/>
        </w:rPr>
      </w:pPr>
      <w:r>
        <w:rPr>
          <w:i w:val="0"/>
          <w:szCs w:val="24"/>
        </w:rPr>
        <w:t xml:space="preserve">The consultation included a questionnaire with 9 questions. The results </w:t>
      </w:r>
      <w:r w:rsidR="00CF24C9">
        <w:rPr>
          <w:i w:val="0"/>
          <w:szCs w:val="24"/>
        </w:rPr>
        <w:t xml:space="preserve">and analysis </w:t>
      </w:r>
      <w:r>
        <w:rPr>
          <w:i w:val="0"/>
          <w:szCs w:val="24"/>
        </w:rPr>
        <w:t>are shown below.</w:t>
      </w:r>
    </w:p>
    <w:p w:rsidR="00036334" w:rsidRDefault="00036334" w:rsidP="000A134F">
      <w:pPr>
        <w:ind w:left="851"/>
        <w:rPr>
          <w:rFonts w:cs="Arial"/>
          <w:szCs w:val="24"/>
          <w:u w:val="single"/>
          <w:lang w:eastAsia="en-GB"/>
        </w:rPr>
      </w:pPr>
    </w:p>
    <w:p w:rsidR="000A134F" w:rsidRPr="000A134F" w:rsidRDefault="000A134F" w:rsidP="000A134F">
      <w:pPr>
        <w:ind w:left="851"/>
        <w:rPr>
          <w:rFonts w:cs="Arial"/>
          <w:szCs w:val="24"/>
          <w:u w:val="single"/>
          <w:lang w:eastAsia="en-GB"/>
        </w:rPr>
      </w:pPr>
      <w:r w:rsidRPr="000A134F">
        <w:rPr>
          <w:rFonts w:cs="Arial"/>
          <w:szCs w:val="24"/>
          <w:u w:val="single"/>
          <w:lang w:eastAsia="en-GB"/>
        </w:rPr>
        <w:t>Questions 1 - 4</w:t>
      </w:r>
    </w:p>
    <w:p w:rsidR="000A134F" w:rsidRDefault="000A134F" w:rsidP="00387704">
      <w:pPr>
        <w:rPr>
          <w:rFonts w:cs="Arial"/>
          <w:b/>
          <w:szCs w:val="24"/>
          <w:lang w:eastAsia="en-GB"/>
        </w:rPr>
      </w:pPr>
    </w:p>
    <w:tbl>
      <w:tblPr>
        <w:tblW w:w="4438" w:type="pct"/>
        <w:tblInd w:w="959" w:type="dxa"/>
        <w:tblLook w:val="04A0" w:firstRow="1" w:lastRow="0" w:firstColumn="1" w:lastColumn="0" w:noHBand="0" w:noVBand="1"/>
      </w:tblPr>
      <w:tblGrid>
        <w:gridCol w:w="2623"/>
        <w:gridCol w:w="6126"/>
      </w:tblGrid>
      <w:tr w:rsidR="005F47FE" w:rsidRPr="00AC4192" w:rsidTr="00CA3C84">
        <w:trPr>
          <w:trHeight w:val="255"/>
        </w:trPr>
        <w:tc>
          <w:tcPr>
            <w:tcW w:w="5000" w:type="pct"/>
            <w:gridSpan w:val="2"/>
            <w:shd w:val="clear" w:color="auto" w:fill="auto"/>
            <w:noWrap/>
            <w:vAlign w:val="bottom"/>
            <w:hideMark/>
          </w:tcPr>
          <w:p w:rsidR="005F47FE" w:rsidRPr="00AC4192" w:rsidRDefault="005F47FE" w:rsidP="005F47FE">
            <w:pPr>
              <w:rPr>
                <w:rFonts w:cs="Arial"/>
                <w:b/>
                <w:bCs/>
                <w:color w:val="000000"/>
                <w:sz w:val="20"/>
                <w:lang w:eastAsia="en-GB"/>
              </w:rPr>
            </w:pPr>
            <w:r w:rsidRPr="00AC4192">
              <w:rPr>
                <w:rFonts w:cs="Arial"/>
                <w:b/>
                <w:bCs/>
                <w:color w:val="000000"/>
                <w:sz w:val="20"/>
                <w:lang w:eastAsia="en-GB"/>
              </w:rPr>
              <w:t xml:space="preserve">Q1.  Do you live in a Controlled Parking Zone? </w:t>
            </w:r>
          </w:p>
        </w:tc>
      </w:tr>
      <w:tr w:rsidR="00AC4192" w:rsidRPr="00AC4192" w:rsidTr="004729C5">
        <w:trPr>
          <w:trHeight w:val="255"/>
        </w:trPr>
        <w:tc>
          <w:tcPr>
            <w:tcW w:w="1499"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w:t>
            </w:r>
          </w:p>
        </w:tc>
        <w:tc>
          <w:tcPr>
            <w:tcW w:w="3501" w:type="pct"/>
            <w:shd w:val="clear" w:color="auto" w:fill="auto"/>
            <w:noWrap/>
            <w:vAlign w:val="bottom"/>
            <w:hideMark/>
          </w:tcPr>
          <w:p w:rsidR="00AC4192" w:rsidRPr="00AC4192" w:rsidRDefault="00227954" w:rsidP="005F47FE">
            <w:pPr>
              <w:rPr>
                <w:rFonts w:cs="Arial"/>
                <w:sz w:val="20"/>
                <w:lang w:eastAsia="en-GB"/>
              </w:rPr>
            </w:pPr>
            <w:r>
              <w:rPr>
                <w:rFonts w:cs="Arial"/>
                <w:sz w:val="20"/>
                <w:lang w:eastAsia="en-GB"/>
              </w:rPr>
              <w:t>51</w:t>
            </w:r>
          </w:p>
        </w:tc>
      </w:tr>
      <w:tr w:rsidR="00AC4192" w:rsidRPr="00AC4192" w:rsidTr="004729C5">
        <w:trPr>
          <w:trHeight w:val="255"/>
        </w:trPr>
        <w:tc>
          <w:tcPr>
            <w:tcW w:w="1499"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Not sure</w:t>
            </w:r>
          </w:p>
        </w:tc>
        <w:tc>
          <w:tcPr>
            <w:tcW w:w="3501"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4</w:t>
            </w:r>
          </w:p>
        </w:tc>
      </w:tr>
      <w:tr w:rsidR="00AC4192" w:rsidRPr="00AC4192" w:rsidTr="004729C5">
        <w:trPr>
          <w:trHeight w:val="255"/>
        </w:trPr>
        <w:tc>
          <w:tcPr>
            <w:tcW w:w="1499"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Yes</w:t>
            </w:r>
          </w:p>
        </w:tc>
        <w:tc>
          <w:tcPr>
            <w:tcW w:w="3501" w:type="pct"/>
            <w:shd w:val="clear" w:color="auto" w:fill="auto"/>
            <w:noWrap/>
            <w:vAlign w:val="bottom"/>
            <w:hideMark/>
          </w:tcPr>
          <w:p w:rsidR="00AC4192" w:rsidRPr="00AC4192" w:rsidRDefault="00227954" w:rsidP="00B36C4C">
            <w:pPr>
              <w:rPr>
                <w:rFonts w:cs="Arial"/>
                <w:sz w:val="20"/>
                <w:lang w:eastAsia="en-GB"/>
              </w:rPr>
            </w:pPr>
            <w:r>
              <w:rPr>
                <w:rFonts w:cs="Arial"/>
                <w:sz w:val="20"/>
                <w:lang w:eastAsia="en-GB"/>
              </w:rPr>
              <w:t>10</w:t>
            </w:r>
            <w:r w:rsidR="00B36C4C">
              <w:rPr>
                <w:rFonts w:cs="Arial"/>
                <w:sz w:val="20"/>
                <w:lang w:eastAsia="en-GB"/>
              </w:rPr>
              <w:t>5</w:t>
            </w:r>
          </w:p>
        </w:tc>
      </w:tr>
      <w:tr w:rsidR="004729C5" w:rsidRPr="00AC4192" w:rsidTr="004729C5">
        <w:trPr>
          <w:trHeight w:val="255"/>
        </w:trPr>
        <w:tc>
          <w:tcPr>
            <w:tcW w:w="1499" w:type="pct"/>
            <w:shd w:val="clear" w:color="auto" w:fill="auto"/>
            <w:noWrap/>
            <w:vAlign w:val="bottom"/>
            <w:hideMark/>
          </w:tcPr>
          <w:p w:rsidR="00AC4192" w:rsidRPr="00AC4192" w:rsidRDefault="00AC4192" w:rsidP="005F47FE">
            <w:pPr>
              <w:rPr>
                <w:rFonts w:cs="Arial"/>
                <w:b/>
                <w:bCs/>
                <w:color w:val="000000"/>
                <w:sz w:val="20"/>
                <w:lang w:eastAsia="en-GB"/>
              </w:rPr>
            </w:pPr>
            <w:r w:rsidRPr="00AC4192">
              <w:rPr>
                <w:rFonts w:cs="Arial"/>
                <w:b/>
                <w:bCs/>
                <w:color w:val="000000"/>
                <w:sz w:val="20"/>
                <w:lang w:eastAsia="en-GB"/>
              </w:rPr>
              <w:t>Grand Total</w:t>
            </w:r>
          </w:p>
        </w:tc>
        <w:tc>
          <w:tcPr>
            <w:tcW w:w="3501" w:type="pct"/>
            <w:shd w:val="clear" w:color="auto" w:fill="auto"/>
            <w:noWrap/>
            <w:vAlign w:val="bottom"/>
            <w:hideMark/>
          </w:tcPr>
          <w:p w:rsidR="00AC4192" w:rsidRPr="00AC4192" w:rsidRDefault="00227954" w:rsidP="00B36C4C">
            <w:pPr>
              <w:rPr>
                <w:rFonts w:cs="Arial"/>
                <w:b/>
                <w:bCs/>
                <w:color w:val="000000"/>
                <w:sz w:val="20"/>
                <w:lang w:eastAsia="en-GB"/>
              </w:rPr>
            </w:pPr>
            <w:r>
              <w:rPr>
                <w:rFonts w:cs="Arial"/>
                <w:b/>
                <w:bCs/>
                <w:color w:val="000000"/>
                <w:sz w:val="20"/>
                <w:lang w:eastAsia="en-GB"/>
              </w:rPr>
              <w:t>1</w:t>
            </w:r>
            <w:r w:rsidR="00B36C4C">
              <w:rPr>
                <w:rFonts w:cs="Arial"/>
                <w:b/>
                <w:bCs/>
                <w:color w:val="000000"/>
                <w:sz w:val="20"/>
                <w:lang w:eastAsia="en-GB"/>
              </w:rPr>
              <w:t>60</w:t>
            </w:r>
          </w:p>
        </w:tc>
      </w:tr>
    </w:tbl>
    <w:p w:rsidR="00CA3C84" w:rsidRDefault="00CA3C84" w:rsidP="00387704">
      <w:pPr>
        <w:rPr>
          <w:rFonts w:cs="Arial"/>
          <w:b/>
          <w:szCs w:val="24"/>
          <w:lang w:eastAsia="en-GB"/>
        </w:rPr>
      </w:pPr>
    </w:p>
    <w:tbl>
      <w:tblPr>
        <w:tblW w:w="0" w:type="auto"/>
        <w:tblInd w:w="959" w:type="dxa"/>
        <w:tblLayout w:type="fixed"/>
        <w:tblLook w:val="04A0" w:firstRow="1" w:lastRow="0" w:firstColumn="1" w:lastColumn="0" w:noHBand="0" w:noVBand="1"/>
      </w:tblPr>
      <w:tblGrid>
        <w:gridCol w:w="2268"/>
        <w:gridCol w:w="5298"/>
      </w:tblGrid>
      <w:tr w:rsidR="005F47FE" w:rsidRPr="00AC4192" w:rsidTr="00CA3C84">
        <w:trPr>
          <w:trHeight w:val="255"/>
        </w:trPr>
        <w:tc>
          <w:tcPr>
            <w:tcW w:w="7566" w:type="dxa"/>
            <w:gridSpan w:val="2"/>
            <w:shd w:val="clear" w:color="auto" w:fill="auto"/>
            <w:noWrap/>
            <w:vAlign w:val="bottom"/>
            <w:hideMark/>
          </w:tcPr>
          <w:p w:rsidR="005F47FE" w:rsidRPr="00AC4192" w:rsidRDefault="005F47FE" w:rsidP="005F47FE">
            <w:pPr>
              <w:rPr>
                <w:rFonts w:cs="Arial"/>
                <w:b/>
                <w:bCs/>
                <w:color w:val="000000"/>
                <w:sz w:val="20"/>
                <w:lang w:eastAsia="en-GB"/>
              </w:rPr>
            </w:pPr>
            <w:r w:rsidRPr="00AC4192">
              <w:rPr>
                <w:rFonts w:cs="Arial"/>
                <w:b/>
                <w:bCs/>
                <w:color w:val="000000"/>
                <w:sz w:val="20"/>
                <w:lang w:eastAsia="en-GB"/>
              </w:rPr>
              <w:t xml:space="preserve">Q2.  Do you have a business in a Controlled Parking Zone? </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w:t>
            </w:r>
          </w:p>
        </w:tc>
        <w:tc>
          <w:tcPr>
            <w:tcW w:w="5298" w:type="dxa"/>
            <w:shd w:val="clear" w:color="auto" w:fill="auto"/>
            <w:noWrap/>
            <w:vAlign w:val="bottom"/>
            <w:hideMark/>
          </w:tcPr>
          <w:p w:rsidR="00AC4192" w:rsidRPr="00AC4192" w:rsidRDefault="00227954" w:rsidP="00B36C4C">
            <w:pPr>
              <w:rPr>
                <w:rFonts w:cs="Arial"/>
                <w:sz w:val="20"/>
                <w:lang w:eastAsia="en-GB"/>
              </w:rPr>
            </w:pPr>
            <w:r>
              <w:rPr>
                <w:rFonts w:cs="Arial"/>
                <w:sz w:val="20"/>
                <w:lang w:eastAsia="en-GB"/>
              </w:rPr>
              <w:t>14</w:t>
            </w:r>
            <w:r w:rsidR="00B36C4C">
              <w:rPr>
                <w:rFonts w:cs="Arial"/>
                <w:sz w:val="20"/>
                <w:lang w:eastAsia="en-GB"/>
              </w:rPr>
              <w:t>6</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Not sure</w:t>
            </w:r>
          </w:p>
        </w:tc>
        <w:tc>
          <w:tcPr>
            <w:tcW w:w="529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3</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Yes</w:t>
            </w:r>
          </w:p>
        </w:tc>
        <w:tc>
          <w:tcPr>
            <w:tcW w:w="5298" w:type="dxa"/>
            <w:shd w:val="clear" w:color="auto" w:fill="auto"/>
            <w:noWrap/>
            <w:vAlign w:val="bottom"/>
            <w:hideMark/>
          </w:tcPr>
          <w:p w:rsidR="00AC4192" w:rsidRPr="00AC4192" w:rsidRDefault="00227954" w:rsidP="005F47FE">
            <w:pPr>
              <w:rPr>
                <w:rFonts w:cs="Arial"/>
                <w:sz w:val="20"/>
                <w:lang w:eastAsia="en-GB"/>
              </w:rPr>
            </w:pPr>
            <w:r>
              <w:rPr>
                <w:rFonts w:cs="Arial"/>
                <w:sz w:val="20"/>
                <w:lang w:eastAsia="en-GB"/>
              </w:rPr>
              <w:t>11</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b/>
                <w:bCs/>
                <w:color w:val="000000"/>
                <w:sz w:val="20"/>
                <w:lang w:eastAsia="en-GB"/>
              </w:rPr>
            </w:pPr>
            <w:r w:rsidRPr="00AC4192">
              <w:rPr>
                <w:rFonts w:cs="Arial"/>
                <w:b/>
                <w:bCs/>
                <w:color w:val="000000"/>
                <w:sz w:val="20"/>
                <w:lang w:eastAsia="en-GB"/>
              </w:rPr>
              <w:t>Grand Total</w:t>
            </w:r>
          </w:p>
        </w:tc>
        <w:tc>
          <w:tcPr>
            <w:tcW w:w="5298" w:type="dxa"/>
            <w:shd w:val="clear" w:color="auto" w:fill="auto"/>
            <w:noWrap/>
            <w:vAlign w:val="bottom"/>
            <w:hideMark/>
          </w:tcPr>
          <w:p w:rsidR="00AC4192" w:rsidRPr="00AC4192" w:rsidRDefault="00227954" w:rsidP="00B36C4C">
            <w:pPr>
              <w:rPr>
                <w:rFonts w:cs="Arial"/>
                <w:b/>
                <w:bCs/>
                <w:color w:val="000000"/>
                <w:sz w:val="20"/>
                <w:lang w:eastAsia="en-GB"/>
              </w:rPr>
            </w:pPr>
            <w:r>
              <w:rPr>
                <w:rFonts w:cs="Arial"/>
                <w:b/>
                <w:bCs/>
                <w:color w:val="000000"/>
                <w:sz w:val="20"/>
                <w:lang w:eastAsia="en-GB"/>
              </w:rPr>
              <w:t>1</w:t>
            </w:r>
            <w:r w:rsidR="00B36C4C">
              <w:rPr>
                <w:rFonts w:cs="Arial"/>
                <w:b/>
                <w:bCs/>
                <w:color w:val="000000"/>
                <w:sz w:val="20"/>
                <w:lang w:eastAsia="en-GB"/>
              </w:rPr>
              <w:t>60</w:t>
            </w:r>
          </w:p>
        </w:tc>
      </w:tr>
    </w:tbl>
    <w:p w:rsidR="00AC4192" w:rsidRDefault="00AC4192"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623"/>
        <w:gridCol w:w="6126"/>
      </w:tblGrid>
      <w:tr w:rsidR="005F47FE" w:rsidRPr="001C3C75" w:rsidTr="00CA3C84">
        <w:trPr>
          <w:trHeight w:val="255"/>
        </w:trPr>
        <w:tc>
          <w:tcPr>
            <w:tcW w:w="5000" w:type="pct"/>
            <w:gridSpan w:val="2"/>
            <w:shd w:val="clear" w:color="auto" w:fill="auto"/>
            <w:noWrap/>
            <w:vAlign w:val="bottom"/>
            <w:hideMark/>
          </w:tcPr>
          <w:p w:rsidR="005F47FE" w:rsidRPr="001C3C75" w:rsidRDefault="005F47FE" w:rsidP="005F47FE">
            <w:pPr>
              <w:rPr>
                <w:rFonts w:cs="Arial"/>
                <w:b/>
                <w:bCs/>
                <w:color w:val="000000"/>
                <w:sz w:val="20"/>
                <w:lang w:eastAsia="en-GB"/>
              </w:rPr>
            </w:pPr>
            <w:r w:rsidRPr="001C3C75">
              <w:rPr>
                <w:rFonts w:cs="Arial"/>
                <w:b/>
                <w:bCs/>
                <w:color w:val="000000"/>
                <w:sz w:val="20"/>
                <w:lang w:eastAsia="en-GB"/>
              </w:rPr>
              <w:t xml:space="preserve">Q3.  Do you currently have or have you ever used a resident parking permit in Harrow? </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No</w:t>
            </w:r>
          </w:p>
        </w:tc>
        <w:tc>
          <w:tcPr>
            <w:tcW w:w="3501" w:type="pct"/>
            <w:shd w:val="clear" w:color="auto" w:fill="auto"/>
            <w:noWrap/>
            <w:vAlign w:val="bottom"/>
            <w:hideMark/>
          </w:tcPr>
          <w:p w:rsidR="001C3C75" w:rsidRPr="001C3C75" w:rsidRDefault="00227954" w:rsidP="00B36C4C">
            <w:pPr>
              <w:rPr>
                <w:rFonts w:cs="Arial"/>
                <w:sz w:val="20"/>
                <w:lang w:eastAsia="en-GB"/>
              </w:rPr>
            </w:pPr>
            <w:r>
              <w:rPr>
                <w:rFonts w:cs="Arial"/>
                <w:sz w:val="20"/>
                <w:lang w:eastAsia="en-GB"/>
              </w:rPr>
              <w:t>6</w:t>
            </w:r>
            <w:r w:rsidR="00B36C4C">
              <w:rPr>
                <w:rFonts w:cs="Arial"/>
                <w:sz w:val="20"/>
                <w:lang w:eastAsia="en-GB"/>
              </w:rPr>
              <w:t>3</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Not sure</w:t>
            </w:r>
          </w:p>
        </w:tc>
        <w:tc>
          <w:tcPr>
            <w:tcW w:w="3501"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2</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Yes</w:t>
            </w:r>
          </w:p>
        </w:tc>
        <w:tc>
          <w:tcPr>
            <w:tcW w:w="3501" w:type="pct"/>
            <w:shd w:val="clear" w:color="auto" w:fill="auto"/>
            <w:noWrap/>
            <w:vAlign w:val="bottom"/>
            <w:hideMark/>
          </w:tcPr>
          <w:p w:rsidR="001C3C75" w:rsidRPr="001C3C75" w:rsidRDefault="00227954" w:rsidP="00B36C4C">
            <w:pPr>
              <w:rPr>
                <w:rFonts w:cs="Arial"/>
                <w:sz w:val="20"/>
                <w:lang w:eastAsia="en-GB"/>
              </w:rPr>
            </w:pPr>
            <w:r>
              <w:rPr>
                <w:rFonts w:cs="Arial"/>
                <w:sz w:val="20"/>
                <w:lang w:eastAsia="en-GB"/>
              </w:rPr>
              <w:t>9</w:t>
            </w:r>
            <w:r w:rsidR="00B36C4C">
              <w:rPr>
                <w:rFonts w:cs="Arial"/>
                <w:sz w:val="20"/>
                <w:lang w:eastAsia="en-GB"/>
              </w:rPr>
              <w:t>6</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b/>
                <w:bCs/>
                <w:color w:val="000000"/>
                <w:sz w:val="20"/>
                <w:lang w:eastAsia="en-GB"/>
              </w:rPr>
            </w:pPr>
            <w:r w:rsidRPr="001C3C75">
              <w:rPr>
                <w:rFonts w:cs="Arial"/>
                <w:b/>
                <w:bCs/>
                <w:color w:val="000000"/>
                <w:sz w:val="20"/>
                <w:lang w:eastAsia="en-GB"/>
              </w:rPr>
              <w:t>Grand Total</w:t>
            </w:r>
          </w:p>
        </w:tc>
        <w:tc>
          <w:tcPr>
            <w:tcW w:w="3501" w:type="pct"/>
            <w:shd w:val="clear" w:color="auto" w:fill="auto"/>
            <w:noWrap/>
            <w:vAlign w:val="bottom"/>
            <w:hideMark/>
          </w:tcPr>
          <w:p w:rsidR="001C3C75" w:rsidRPr="001C3C75" w:rsidRDefault="00227954" w:rsidP="00B36C4C">
            <w:pPr>
              <w:rPr>
                <w:rFonts w:cs="Arial"/>
                <w:b/>
                <w:bCs/>
                <w:color w:val="000000"/>
                <w:sz w:val="20"/>
                <w:lang w:eastAsia="en-GB"/>
              </w:rPr>
            </w:pPr>
            <w:r>
              <w:rPr>
                <w:rFonts w:cs="Arial"/>
                <w:b/>
                <w:bCs/>
                <w:color w:val="000000"/>
                <w:sz w:val="20"/>
                <w:lang w:eastAsia="en-GB"/>
              </w:rPr>
              <w:t>1</w:t>
            </w:r>
            <w:r w:rsidR="00B36C4C">
              <w:rPr>
                <w:rFonts w:cs="Arial"/>
                <w:b/>
                <w:bCs/>
                <w:color w:val="000000"/>
                <w:sz w:val="20"/>
                <w:lang w:eastAsia="en-GB"/>
              </w:rPr>
              <w:t>60</w:t>
            </w:r>
          </w:p>
        </w:tc>
      </w:tr>
    </w:tbl>
    <w:p w:rsidR="00AC4192" w:rsidRDefault="00AC4192"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623"/>
        <w:gridCol w:w="6126"/>
      </w:tblGrid>
      <w:tr w:rsidR="005F47FE" w:rsidRPr="005F47FE" w:rsidTr="00CA3C84">
        <w:trPr>
          <w:trHeight w:val="255"/>
        </w:trPr>
        <w:tc>
          <w:tcPr>
            <w:tcW w:w="5000" w:type="pct"/>
            <w:gridSpan w:val="2"/>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 xml:space="preserve">Q4.  Do you currently have or have you ever used an on-street business parking permit in Harrow? </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No</w:t>
            </w:r>
          </w:p>
        </w:tc>
        <w:tc>
          <w:tcPr>
            <w:tcW w:w="3501" w:type="pct"/>
            <w:shd w:val="clear" w:color="auto" w:fill="auto"/>
            <w:noWrap/>
            <w:vAlign w:val="bottom"/>
            <w:hideMark/>
          </w:tcPr>
          <w:p w:rsidR="005F47FE" w:rsidRPr="005F47FE" w:rsidRDefault="00227954" w:rsidP="00B36C4C">
            <w:pPr>
              <w:rPr>
                <w:rFonts w:cs="Arial"/>
                <w:sz w:val="20"/>
                <w:lang w:eastAsia="en-GB"/>
              </w:rPr>
            </w:pPr>
            <w:r>
              <w:rPr>
                <w:rFonts w:cs="Arial"/>
                <w:sz w:val="20"/>
                <w:lang w:eastAsia="en-GB"/>
              </w:rPr>
              <w:t>13</w:t>
            </w:r>
            <w:r w:rsidR="00B36C4C">
              <w:rPr>
                <w:rFonts w:cs="Arial"/>
                <w:sz w:val="20"/>
                <w:lang w:eastAsia="en-GB"/>
              </w:rPr>
              <w:t>5</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Not sure</w:t>
            </w:r>
          </w:p>
        </w:tc>
        <w:tc>
          <w:tcPr>
            <w:tcW w:w="3501"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4</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Yes</w:t>
            </w:r>
          </w:p>
        </w:tc>
        <w:tc>
          <w:tcPr>
            <w:tcW w:w="3501"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14</w:t>
            </w:r>
          </w:p>
        </w:tc>
      </w:tr>
      <w:tr w:rsidR="004729C5" w:rsidRPr="005F47FE" w:rsidTr="00227954">
        <w:trPr>
          <w:trHeight w:val="255"/>
        </w:trPr>
        <w:tc>
          <w:tcPr>
            <w:tcW w:w="1499" w:type="pct"/>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Grand Total</w:t>
            </w:r>
          </w:p>
        </w:tc>
        <w:tc>
          <w:tcPr>
            <w:tcW w:w="3501" w:type="pct"/>
            <w:shd w:val="clear" w:color="auto" w:fill="auto"/>
            <w:noWrap/>
            <w:vAlign w:val="bottom"/>
            <w:hideMark/>
          </w:tcPr>
          <w:p w:rsidR="005F47FE" w:rsidRPr="005F47FE" w:rsidRDefault="00227954" w:rsidP="00B36C4C">
            <w:pPr>
              <w:rPr>
                <w:rFonts w:cs="Arial"/>
                <w:b/>
                <w:bCs/>
                <w:color w:val="000000"/>
                <w:sz w:val="20"/>
                <w:lang w:eastAsia="en-GB"/>
              </w:rPr>
            </w:pPr>
            <w:r>
              <w:rPr>
                <w:rFonts w:cs="Arial"/>
                <w:b/>
                <w:bCs/>
                <w:color w:val="000000"/>
                <w:sz w:val="20"/>
                <w:lang w:eastAsia="en-GB"/>
              </w:rPr>
              <w:t>15</w:t>
            </w:r>
            <w:r w:rsidR="00B36C4C">
              <w:rPr>
                <w:rFonts w:cs="Arial"/>
                <w:b/>
                <w:bCs/>
                <w:color w:val="000000"/>
                <w:sz w:val="20"/>
                <w:lang w:eastAsia="en-GB"/>
              </w:rPr>
              <w:t>3</w:t>
            </w:r>
          </w:p>
        </w:tc>
      </w:tr>
    </w:tbl>
    <w:p w:rsidR="005F47FE" w:rsidRDefault="005F47FE" w:rsidP="00387704">
      <w:pPr>
        <w:rPr>
          <w:rFonts w:cs="Arial"/>
          <w:b/>
          <w:szCs w:val="24"/>
          <w:lang w:eastAsia="en-GB"/>
        </w:rPr>
      </w:pPr>
    </w:p>
    <w:p w:rsidR="00CF24C9" w:rsidRDefault="00CF24C9" w:rsidP="00CF24C9">
      <w:pPr>
        <w:pStyle w:val="BodyText"/>
        <w:numPr>
          <w:ilvl w:val="0"/>
          <w:numId w:val="3"/>
        </w:numPr>
        <w:tabs>
          <w:tab w:val="clear" w:pos="720"/>
          <w:tab w:val="left" w:pos="851"/>
        </w:tabs>
        <w:ind w:left="851" w:hanging="851"/>
        <w:rPr>
          <w:i w:val="0"/>
          <w:szCs w:val="24"/>
        </w:rPr>
      </w:pPr>
      <w:r>
        <w:rPr>
          <w:i w:val="0"/>
          <w:szCs w:val="24"/>
        </w:rPr>
        <w:t xml:space="preserve">Questions 1 to 4 provided some context with regard to the circumstances of </w:t>
      </w:r>
      <w:r w:rsidR="00884600">
        <w:rPr>
          <w:i w:val="0"/>
          <w:szCs w:val="24"/>
        </w:rPr>
        <w:t xml:space="preserve">the </w:t>
      </w:r>
      <w:r>
        <w:rPr>
          <w:i w:val="0"/>
          <w:szCs w:val="24"/>
        </w:rPr>
        <w:t xml:space="preserve">respondents </w:t>
      </w:r>
      <w:r w:rsidR="00884600">
        <w:rPr>
          <w:i w:val="0"/>
          <w:szCs w:val="24"/>
        </w:rPr>
        <w:t>regarding</w:t>
      </w:r>
      <w:r>
        <w:rPr>
          <w:i w:val="0"/>
          <w:szCs w:val="24"/>
        </w:rPr>
        <w:t xml:space="preserve"> CPZs and </w:t>
      </w:r>
      <w:r w:rsidR="00884600">
        <w:rPr>
          <w:i w:val="0"/>
          <w:szCs w:val="24"/>
        </w:rPr>
        <w:t xml:space="preserve">use of </w:t>
      </w:r>
      <w:r>
        <w:rPr>
          <w:i w:val="0"/>
          <w:szCs w:val="24"/>
        </w:rPr>
        <w:t>permits. Approximately 6</w:t>
      </w:r>
      <w:r w:rsidR="00227954">
        <w:rPr>
          <w:i w:val="0"/>
          <w:szCs w:val="24"/>
        </w:rPr>
        <w:t>5</w:t>
      </w:r>
      <w:r>
        <w:rPr>
          <w:i w:val="0"/>
          <w:szCs w:val="24"/>
        </w:rPr>
        <w:t xml:space="preserve">% of respondents lived in a CPZ but only </w:t>
      </w:r>
      <w:r w:rsidR="00227954">
        <w:rPr>
          <w:i w:val="0"/>
          <w:szCs w:val="24"/>
        </w:rPr>
        <w:t>7</w:t>
      </w:r>
      <w:r>
        <w:rPr>
          <w:i w:val="0"/>
          <w:szCs w:val="24"/>
        </w:rPr>
        <w:t xml:space="preserve">% had a business within a CPZ. Approximately </w:t>
      </w:r>
      <w:r w:rsidR="00227954">
        <w:rPr>
          <w:i w:val="0"/>
          <w:szCs w:val="24"/>
        </w:rPr>
        <w:t>59</w:t>
      </w:r>
      <w:r>
        <w:rPr>
          <w:i w:val="0"/>
          <w:szCs w:val="24"/>
        </w:rPr>
        <w:t xml:space="preserve">% of respondents used resident permits and </w:t>
      </w:r>
      <w:r w:rsidR="00227954">
        <w:rPr>
          <w:i w:val="0"/>
          <w:szCs w:val="24"/>
        </w:rPr>
        <w:t>9</w:t>
      </w:r>
      <w:r>
        <w:rPr>
          <w:i w:val="0"/>
          <w:szCs w:val="24"/>
        </w:rPr>
        <w:t xml:space="preserve">% used business permits. It </w:t>
      </w:r>
      <w:r w:rsidR="006D175A">
        <w:rPr>
          <w:i w:val="0"/>
          <w:szCs w:val="24"/>
        </w:rPr>
        <w:t>is not</w:t>
      </w:r>
      <w:r>
        <w:rPr>
          <w:i w:val="0"/>
          <w:szCs w:val="24"/>
        </w:rPr>
        <w:t xml:space="preserve"> surprising that a higher number of residents responded to the consultation as this is the largest user group</w:t>
      </w:r>
      <w:r w:rsidR="00B40D8D">
        <w:rPr>
          <w:i w:val="0"/>
          <w:szCs w:val="24"/>
        </w:rPr>
        <w:t xml:space="preserve"> in the borough</w:t>
      </w:r>
      <w:r>
        <w:rPr>
          <w:i w:val="0"/>
          <w:szCs w:val="24"/>
        </w:rPr>
        <w:t>.</w:t>
      </w:r>
    </w:p>
    <w:p w:rsidR="00CF24C9" w:rsidRDefault="00CF24C9" w:rsidP="00387704">
      <w:pPr>
        <w:rPr>
          <w:rFonts w:cs="Arial"/>
          <w:b/>
          <w:szCs w:val="24"/>
          <w:lang w:eastAsia="en-GB"/>
        </w:rPr>
      </w:pPr>
    </w:p>
    <w:p w:rsidR="000A134F" w:rsidRPr="000A134F" w:rsidRDefault="000A134F" w:rsidP="000A134F">
      <w:pPr>
        <w:ind w:left="851"/>
        <w:rPr>
          <w:rFonts w:cs="Arial"/>
          <w:szCs w:val="24"/>
          <w:u w:val="single"/>
          <w:lang w:eastAsia="en-GB"/>
        </w:rPr>
      </w:pPr>
      <w:r w:rsidRPr="000A134F">
        <w:rPr>
          <w:rFonts w:cs="Arial"/>
          <w:szCs w:val="24"/>
          <w:u w:val="single"/>
          <w:lang w:eastAsia="en-GB"/>
        </w:rPr>
        <w:t xml:space="preserve">Questions </w:t>
      </w:r>
      <w:r>
        <w:rPr>
          <w:rFonts w:cs="Arial"/>
          <w:szCs w:val="24"/>
          <w:u w:val="single"/>
          <w:lang w:eastAsia="en-GB"/>
        </w:rPr>
        <w:t>5</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623"/>
        <w:gridCol w:w="6126"/>
      </w:tblGrid>
      <w:tr w:rsidR="005F47FE" w:rsidRPr="005F47FE" w:rsidTr="00CA3C84">
        <w:trPr>
          <w:trHeight w:val="255"/>
        </w:trPr>
        <w:tc>
          <w:tcPr>
            <w:tcW w:w="5000" w:type="pct"/>
            <w:gridSpan w:val="2"/>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 xml:space="preserve">Q5.  </w:t>
            </w:r>
            <w:r w:rsidR="00250987" w:rsidRPr="00250987">
              <w:rPr>
                <w:rFonts w:cs="Arial"/>
                <w:b/>
                <w:bCs/>
                <w:color w:val="000000"/>
                <w:sz w:val="20"/>
                <w:lang w:eastAsia="en-GB"/>
              </w:rPr>
              <w:t>Do you support the principle of setting charges that encourage improvements to air quality, public health and the environment?</w:t>
            </w:r>
          </w:p>
        </w:tc>
      </w:tr>
      <w:tr w:rsidR="00CA3C84"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Strongly 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40</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Agree</w:t>
            </w:r>
          </w:p>
        </w:tc>
        <w:tc>
          <w:tcPr>
            <w:tcW w:w="3501" w:type="pct"/>
            <w:shd w:val="clear" w:color="auto" w:fill="auto"/>
            <w:noWrap/>
            <w:vAlign w:val="bottom"/>
            <w:hideMark/>
          </w:tcPr>
          <w:p w:rsidR="005F47FE" w:rsidRPr="005F47FE" w:rsidRDefault="003021A1" w:rsidP="005F47FE">
            <w:pPr>
              <w:rPr>
                <w:rFonts w:cs="Arial"/>
                <w:sz w:val="20"/>
                <w:lang w:eastAsia="en-GB"/>
              </w:rPr>
            </w:pPr>
            <w:r>
              <w:rPr>
                <w:rFonts w:cs="Arial"/>
                <w:sz w:val="20"/>
                <w:lang w:eastAsia="en-GB"/>
              </w:rPr>
              <w:t>42</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Don't know</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7</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Disagree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25</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Strongly disagree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38</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Grand Total</w:t>
            </w:r>
          </w:p>
        </w:tc>
        <w:tc>
          <w:tcPr>
            <w:tcW w:w="3501" w:type="pct"/>
            <w:shd w:val="clear" w:color="auto" w:fill="auto"/>
            <w:noWrap/>
            <w:vAlign w:val="bottom"/>
            <w:hideMark/>
          </w:tcPr>
          <w:p w:rsidR="005F47FE" w:rsidRPr="005F47FE" w:rsidRDefault="00227954" w:rsidP="003021A1">
            <w:pPr>
              <w:rPr>
                <w:rFonts w:cs="Arial"/>
                <w:b/>
                <w:bCs/>
                <w:color w:val="000000"/>
                <w:sz w:val="20"/>
                <w:lang w:eastAsia="en-GB"/>
              </w:rPr>
            </w:pPr>
            <w:r>
              <w:rPr>
                <w:rFonts w:cs="Arial"/>
                <w:b/>
                <w:bCs/>
                <w:color w:val="000000"/>
                <w:sz w:val="20"/>
                <w:lang w:eastAsia="en-GB"/>
              </w:rPr>
              <w:t>1</w:t>
            </w:r>
            <w:r w:rsidR="003021A1">
              <w:rPr>
                <w:rFonts w:cs="Arial"/>
                <w:b/>
                <w:bCs/>
                <w:color w:val="000000"/>
                <w:sz w:val="20"/>
                <w:lang w:eastAsia="en-GB"/>
              </w:rPr>
              <w:t>52</w:t>
            </w:r>
          </w:p>
        </w:tc>
      </w:tr>
    </w:tbl>
    <w:p w:rsidR="00200795" w:rsidRDefault="00200795" w:rsidP="00387704">
      <w:pPr>
        <w:rPr>
          <w:rFonts w:cs="Arial"/>
          <w:b/>
          <w:szCs w:val="24"/>
          <w:lang w:eastAsia="en-GB"/>
        </w:rPr>
      </w:pPr>
    </w:p>
    <w:p w:rsidR="00CF24C9" w:rsidRPr="006D175A" w:rsidRDefault="00CF24C9" w:rsidP="00387704">
      <w:pPr>
        <w:pStyle w:val="BodyText"/>
        <w:numPr>
          <w:ilvl w:val="0"/>
          <w:numId w:val="3"/>
        </w:numPr>
        <w:tabs>
          <w:tab w:val="clear" w:pos="720"/>
          <w:tab w:val="left" w:pos="851"/>
        </w:tabs>
        <w:ind w:left="851" w:hanging="851"/>
        <w:rPr>
          <w:i w:val="0"/>
          <w:szCs w:val="24"/>
        </w:rPr>
      </w:pPr>
      <w:r w:rsidRPr="006D175A">
        <w:rPr>
          <w:i w:val="0"/>
          <w:szCs w:val="24"/>
        </w:rPr>
        <w:t xml:space="preserve">Question 5 </w:t>
      </w:r>
      <w:r w:rsidR="006D175A" w:rsidRPr="006D175A">
        <w:rPr>
          <w:i w:val="0"/>
          <w:szCs w:val="24"/>
        </w:rPr>
        <w:t xml:space="preserve">asks about </w:t>
      </w:r>
      <w:r w:rsidRPr="006D175A">
        <w:rPr>
          <w:i w:val="0"/>
          <w:szCs w:val="24"/>
        </w:rPr>
        <w:t xml:space="preserve">the </w:t>
      </w:r>
      <w:r w:rsidR="006D175A" w:rsidRPr="006D175A">
        <w:rPr>
          <w:i w:val="0"/>
          <w:szCs w:val="24"/>
        </w:rPr>
        <w:t xml:space="preserve">proposed </w:t>
      </w:r>
      <w:r w:rsidRPr="006D175A">
        <w:rPr>
          <w:i w:val="0"/>
          <w:szCs w:val="24"/>
        </w:rPr>
        <w:t>approach to improving air quality</w:t>
      </w:r>
      <w:r w:rsidR="006D175A" w:rsidRPr="006D175A">
        <w:rPr>
          <w:i w:val="0"/>
          <w:szCs w:val="24"/>
        </w:rPr>
        <w:t>,</w:t>
      </w:r>
      <w:r w:rsidRPr="006D175A">
        <w:rPr>
          <w:i w:val="0"/>
          <w:szCs w:val="24"/>
        </w:rPr>
        <w:t xml:space="preserve"> </w:t>
      </w:r>
      <w:r w:rsidR="006D175A" w:rsidRPr="006D175A">
        <w:rPr>
          <w:i w:val="0"/>
          <w:szCs w:val="24"/>
        </w:rPr>
        <w:t>p</w:t>
      </w:r>
      <w:r w:rsidRPr="006D175A">
        <w:rPr>
          <w:i w:val="0"/>
          <w:szCs w:val="24"/>
        </w:rPr>
        <w:t xml:space="preserve">ublic health </w:t>
      </w:r>
      <w:r w:rsidR="006D175A" w:rsidRPr="006D175A">
        <w:rPr>
          <w:i w:val="0"/>
          <w:szCs w:val="24"/>
        </w:rPr>
        <w:t xml:space="preserve">and the environment. The </w:t>
      </w:r>
      <w:r w:rsidR="006D175A">
        <w:rPr>
          <w:i w:val="0"/>
          <w:szCs w:val="24"/>
        </w:rPr>
        <w:t xml:space="preserve">consultation document </w:t>
      </w:r>
      <w:r w:rsidR="006D175A" w:rsidRPr="006D175A">
        <w:rPr>
          <w:i w:val="0"/>
          <w:szCs w:val="24"/>
        </w:rPr>
        <w:t xml:space="preserve">explains that this is done </w:t>
      </w:r>
      <w:r w:rsidRPr="006D175A">
        <w:rPr>
          <w:i w:val="0"/>
          <w:szCs w:val="24"/>
        </w:rPr>
        <w:t>through the use of emissions based charging, surcharges for diesel vehicles and subsidised charging for electric vehicles</w:t>
      </w:r>
      <w:r w:rsidR="006D175A">
        <w:rPr>
          <w:i w:val="0"/>
          <w:szCs w:val="24"/>
        </w:rPr>
        <w:t xml:space="preserve"> to incentivise the use of reduced or zero emission vehicles</w:t>
      </w:r>
      <w:r w:rsidRPr="006D175A">
        <w:rPr>
          <w:i w:val="0"/>
          <w:szCs w:val="24"/>
        </w:rPr>
        <w:t xml:space="preserve">. Approximately </w:t>
      </w:r>
      <w:r w:rsidR="006D175A" w:rsidRPr="006D175A">
        <w:rPr>
          <w:i w:val="0"/>
          <w:szCs w:val="24"/>
        </w:rPr>
        <w:t>5</w:t>
      </w:r>
      <w:r w:rsidR="003021A1">
        <w:rPr>
          <w:i w:val="0"/>
          <w:szCs w:val="24"/>
        </w:rPr>
        <w:t>4</w:t>
      </w:r>
      <w:r w:rsidR="006D175A" w:rsidRPr="006D175A">
        <w:rPr>
          <w:i w:val="0"/>
          <w:szCs w:val="24"/>
        </w:rPr>
        <w:t>% of respondents agree with these principles and 4</w:t>
      </w:r>
      <w:r w:rsidR="003021A1">
        <w:rPr>
          <w:i w:val="0"/>
          <w:szCs w:val="24"/>
        </w:rPr>
        <w:t>1</w:t>
      </w:r>
      <w:r w:rsidR="006D175A" w:rsidRPr="006D175A">
        <w:rPr>
          <w:i w:val="0"/>
          <w:szCs w:val="24"/>
        </w:rPr>
        <w:t>% disagree.</w:t>
      </w:r>
    </w:p>
    <w:p w:rsidR="00CF24C9" w:rsidRDefault="00CF24C9" w:rsidP="00387704">
      <w:pPr>
        <w:rPr>
          <w:rFonts w:cs="Arial"/>
          <w:b/>
          <w:szCs w:val="24"/>
          <w:lang w:eastAsia="en-GB"/>
        </w:rPr>
      </w:pPr>
    </w:p>
    <w:p w:rsidR="000A134F" w:rsidRPr="000A134F" w:rsidRDefault="000A134F" w:rsidP="000A134F">
      <w:pPr>
        <w:ind w:left="851"/>
        <w:rPr>
          <w:rFonts w:cs="Arial"/>
          <w:szCs w:val="24"/>
          <w:u w:val="single"/>
          <w:lang w:eastAsia="en-GB"/>
        </w:rPr>
      </w:pPr>
      <w:r w:rsidRPr="000A134F">
        <w:rPr>
          <w:rFonts w:cs="Arial"/>
          <w:szCs w:val="24"/>
          <w:u w:val="single"/>
          <w:lang w:eastAsia="en-GB"/>
        </w:rPr>
        <w:t xml:space="preserve">Questions </w:t>
      </w:r>
      <w:r>
        <w:rPr>
          <w:rFonts w:cs="Arial"/>
          <w:szCs w:val="24"/>
          <w:u w:val="single"/>
          <w:lang w:eastAsia="en-GB"/>
        </w:rPr>
        <w:t>6</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457"/>
        <w:gridCol w:w="6292"/>
      </w:tblGrid>
      <w:tr w:rsidR="00200795" w:rsidRPr="00200795" w:rsidTr="00200795">
        <w:trPr>
          <w:trHeight w:val="255"/>
        </w:trPr>
        <w:tc>
          <w:tcPr>
            <w:tcW w:w="5000" w:type="pct"/>
            <w:gridSpan w:val="2"/>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 xml:space="preserve">Q6.  Do you support the principle of setting charges to mitigate the impact of climate change? </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agree</w:t>
            </w:r>
          </w:p>
        </w:tc>
        <w:tc>
          <w:tcPr>
            <w:tcW w:w="3596" w:type="pct"/>
            <w:shd w:val="clear" w:color="auto" w:fill="auto"/>
            <w:noWrap/>
            <w:vAlign w:val="bottom"/>
            <w:hideMark/>
          </w:tcPr>
          <w:p w:rsidR="00200795" w:rsidRPr="00200795" w:rsidRDefault="00227954" w:rsidP="00200795">
            <w:pPr>
              <w:rPr>
                <w:rFonts w:cs="Arial"/>
                <w:sz w:val="20"/>
                <w:lang w:eastAsia="en-GB"/>
              </w:rPr>
            </w:pPr>
            <w:r>
              <w:rPr>
                <w:rFonts w:cs="Arial"/>
                <w:sz w:val="20"/>
                <w:lang w:eastAsia="en-GB"/>
              </w:rPr>
              <w:t>34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Agree</w:t>
            </w:r>
          </w:p>
        </w:tc>
        <w:tc>
          <w:tcPr>
            <w:tcW w:w="3596" w:type="pct"/>
            <w:shd w:val="clear" w:color="auto" w:fill="auto"/>
            <w:noWrap/>
            <w:vAlign w:val="bottom"/>
            <w:hideMark/>
          </w:tcPr>
          <w:p w:rsidR="00200795" w:rsidRPr="00200795" w:rsidRDefault="00AA3F48" w:rsidP="00200795">
            <w:pPr>
              <w:rPr>
                <w:rFonts w:cs="Arial"/>
                <w:sz w:val="20"/>
                <w:lang w:eastAsia="en-GB"/>
              </w:rPr>
            </w:pPr>
            <w:r>
              <w:rPr>
                <w:rFonts w:cs="Arial"/>
                <w:sz w:val="20"/>
                <w:lang w:eastAsia="en-GB"/>
              </w:rPr>
              <w:t>50</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Don't know</w:t>
            </w:r>
          </w:p>
        </w:tc>
        <w:tc>
          <w:tcPr>
            <w:tcW w:w="3596" w:type="pct"/>
            <w:shd w:val="clear" w:color="auto" w:fill="auto"/>
            <w:noWrap/>
            <w:vAlign w:val="bottom"/>
            <w:hideMark/>
          </w:tcPr>
          <w:p w:rsidR="00200795" w:rsidRPr="00200795" w:rsidRDefault="00A80066" w:rsidP="00200795">
            <w:pPr>
              <w:rPr>
                <w:rFonts w:cs="Arial"/>
                <w:sz w:val="20"/>
                <w:lang w:eastAsia="en-GB"/>
              </w:rPr>
            </w:pPr>
            <w:r>
              <w:rPr>
                <w:rFonts w:cs="Arial"/>
                <w:sz w:val="20"/>
                <w:lang w:eastAsia="en-GB"/>
              </w:rPr>
              <w:t>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Disagree</w:t>
            </w:r>
          </w:p>
        </w:tc>
        <w:tc>
          <w:tcPr>
            <w:tcW w:w="3596" w:type="pct"/>
            <w:shd w:val="clear" w:color="auto" w:fill="auto"/>
            <w:noWrap/>
            <w:vAlign w:val="bottom"/>
            <w:hideMark/>
          </w:tcPr>
          <w:p w:rsidR="00200795" w:rsidRPr="00200795" w:rsidRDefault="00A80066" w:rsidP="00AA3F48">
            <w:pPr>
              <w:rPr>
                <w:rFonts w:cs="Arial"/>
                <w:sz w:val="20"/>
                <w:lang w:eastAsia="en-GB"/>
              </w:rPr>
            </w:pPr>
            <w:r>
              <w:rPr>
                <w:rFonts w:cs="Arial"/>
                <w:sz w:val="20"/>
                <w:lang w:eastAsia="en-GB"/>
              </w:rPr>
              <w:t>2</w:t>
            </w:r>
            <w:r w:rsidR="00AA3F48">
              <w:rPr>
                <w:rFonts w:cs="Arial"/>
                <w:sz w:val="20"/>
                <w:lang w:eastAsia="en-GB"/>
              </w:rPr>
              <w:t>5</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disagree</w:t>
            </w:r>
          </w:p>
        </w:tc>
        <w:tc>
          <w:tcPr>
            <w:tcW w:w="3596" w:type="pct"/>
            <w:shd w:val="clear" w:color="auto" w:fill="auto"/>
            <w:noWrap/>
            <w:vAlign w:val="bottom"/>
            <w:hideMark/>
          </w:tcPr>
          <w:p w:rsidR="00200795" w:rsidRPr="00200795" w:rsidRDefault="00200795" w:rsidP="00AA3F48">
            <w:pPr>
              <w:rPr>
                <w:rFonts w:cs="Arial"/>
                <w:sz w:val="20"/>
                <w:lang w:eastAsia="en-GB"/>
              </w:rPr>
            </w:pPr>
            <w:r w:rsidRPr="00200795">
              <w:rPr>
                <w:rFonts w:cs="Arial"/>
                <w:sz w:val="20"/>
                <w:lang w:eastAsia="en-GB"/>
              </w:rPr>
              <w:t>3</w:t>
            </w:r>
            <w:r w:rsidR="00AA3F48">
              <w:rPr>
                <w:rFonts w:cs="Arial"/>
                <w:sz w:val="20"/>
                <w:lang w:eastAsia="en-GB"/>
              </w:rPr>
              <w:t>9</w:t>
            </w:r>
          </w:p>
        </w:tc>
      </w:tr>
      <w:tr w:rsidR="00200795" w:rsidRPr="00200795" w:rsidTr="00200795">
        <w:trPr>
          <w:trHeight w:val="255"/>
        </w:trPr>
        <w:tc>
          <w:tcPr>
            <w:tcW w:w="1404" w:type="pct"/>
            <w:shd w:val="clear" w:color="auto" w:fill="auto"/>
            <w:noWrap/>
            <w:vAlign w:val="bottom"/>
            <w:hideMark/>
          </w:tcPr>
          <w:p w:rsidR="00200795" w:rsidRPr="005F47FE" w:rsidRDefault="00200795" w:rsidP="00CF24C9">
            <w:pPr>
              <w:rPr>
                <w:rFonts w:cs="Arial"/>
                <w:b/>
                <w:sz w:val="20"/>
                <w:lang w:eastAsia="en-GB"/>
              </w:rPr>
            </w:pPr>
            <w:r w:rsidRPr="005F47FE">
              <w:rPr>
                <w:rFonts w:cs="Arial"/>
                <w:b/>
                <w:sz w:val="20"/>
                <w:lang w:eastAsia="en-GB"/>
              </w:rPr>
              <w:t>Grand Total</w:t>
            </w:r>
          </w:p>
        </w:tc>
        <w:tc>
          <w:tcPr>
            <w:tcW w:w="3596" w:type="pct"/>
            <w:shd w:val="clear" w:color="auto" w:fill="auto"/>
            <w:noWrap/>
            <w:vAlign w:val="bottom"/>
            <w:hideMark/>
          </w:tcPr>
          <w:p w:rsidR="00200795" w:rsidRPr="005F47FE" w:rsidRDefault="00200795" w:rsidP="00AA3F48">
            <w:pPr>
              <w:rPr>
                <w:rFonts w:cs="Arial"/>
                <w:b/>
                <w:sz w:val="20"/>
                <w:lang w:eastAsia="en-GB"/>
              </w:rPr>
            </w:pPr>
            <w:r w:rsidRPr="005F47FE">
              <w:rPr>
                <w:rFonts w:cs="Arial"/>
                <w:b/>
                <w:sz w:val="20"/>
                <w:lang w:eastAsia="en-GB"/>
              </w:rPr>
              <w:t>1</w:t>
            </w:r>
            <w:r w:rsidR="00AA3F48">
              <w:rPr>
                <w:rFonts w:cs="Arial"/>
                <w:b/>
                <w:sz w:val="20"/>
                <w:lang w:eastAsia="en-GB"/>
              </w:rPr>
              <w:t>52</w:t>
            </w:r>
          </w:p>
        </w:tc>
      </w:tr>
    </w:tbl>
    <w:p w:rsidR="00200795" w:rsidRDefault="00200795" w:rsidP="00387704">
      <w:pPr>
        <w:rPr>
          <w:rFonts w:cs="Arial"/>
          <w:b/>
          <w:szCs w:val="24"/>
          <w:lang w:eastAsia="en-GB"/>
        </w:rPr>
      </w:pPr>
    </w:p>
    <w:p w:rsidR="006D175A" w:rsidRPr="006D175A" w:rsidRDefault="006D175A" w:rsidP="006D175A">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6</w:t>
      </w:r>
      <w:r w:rsidRPr="006D175A">
        <w:rPr>
          <w:i w:val="0"/>
          <w:szCs w:val="24"/>
        </w:rPr>
        <w:t xml:space="preserve"> asks about the</w:t>
      </w:r>
      <w:r>
        <w:rPr>
          <w:i w:val="0"/>
          <w:szCs w:val="24"/>
        </w:rPr>
        <w:t xml:space="preserve"> relevance of th</w:t>
      </w:r>
      <w:r w:rsidR="00B40D8D">
        <w:rPr>
          <w:i w:val="0"/>
          <w:szCs w:val="24"/>
        </w:rPr>
        <w:t>is</w:t>
      </w:r>
      <w:r w:rsidRPr="006D175A">
        <w:rPr>
          <w:i w:val="0"/>
          <w:szCs w:val="24"/>
        </w:rPr>
        <w:t xml:space="preserve"> proposed approach to </w:t>
      </w:r>
      <w:r w:rsidR="00D34350">
        <w:rPr>
          <w:i w:val="0"/>
          <w:szCs w:val="24"/>
        </w:rPr>
        <w:t>mitigating</w:t>
      </w:r>
      <w:r>
        <w:rPr>
          <w:i w:val="0"/>
          <w:szCs w:val="24"/>
        </w:rPr>
        <w:t xml:space="preserve"> the impact of climate change</w:t>
      </w:r>
      <w:r w:rsidRPr="006D175A">
        <w:rPr>
          <w:i w:val="0"/>
          <w:szCs w:val="24"/>
        </w:rPr>
        <w:t>. Approximately 5</w:t>
      </w:r>
      <w:r w:rsidR="00AA3F48">
        <w:rPr>
          <w:i w:val="0"/>
          <w:szCs w:val="24"/>
        </w:rPr>
        <w:t>5</w:t>
      </w:r>
      <w:r w:rsidRPr="006D175A">
        <w:rPr>
          <w:i w:val="0"/>
          <w:szCs w:val="24"/>
        </w:rPr>
        <w:t xml:space="preserve">% of respondents agree with these principles and </w:t>
      </w:r>
      <w:r w:rsidR="007D2E03">
        <w:rPr>
          <w:i w:val="0"/>
          <w:szCs w:val="24"/>
        </w:rPr>
        <w:t>42</w:t>
      </w:r>
      <w:r w:rsidRPr="006D175A">
        <w:rPr>
          <w:i w:val="0"/>
          <w:szCs w:val="24"/>
        </w:rPr>
        <w:t>% disagree.</w:t>
      </w:r>
      <w:r w:rsidR="00D34350">
        <w:rPr>
          <w:i w:val="0"/>
          <w:szCs w:val="24"/>
        </w:rPr>
        <w:t xml:space="preserve"> With the current focus on climate change in the media it is quite clear that there is </w:t>
      </w:r>
      <w:r w:rsidR="00884600">
        <w:rPr>
          <w:i w:val="0"/>
          <w:szCs w:val="24"/>
        </w:rPr>
        <w:t>a</w:t>
      </w:r>
      <w:r w:rsidR="00D34350">
        <w:rPr>
          <w:i w:val="0"/>
          <w:szCs w:val="24"/>
        </w:rPr>
        <w:t xml:space="preserve"> high number of respondents </w:t>
      </w:r>
      <w:r w:rsidR="00884600">
        <w:rPr>
          <w:i w:val="0"/>
          <w:szCs w:val="24"/>
        </w:rPr>
        <w:t>i</w:t>
      </w:r>
      <w:r w:rsidR="00D34350">
        <w:rPr>
          <w:i w:val="0"/>
          <w:szCs w:val="24"/>
        </w:rPr>
        <w:t>n agreement.</w:t>
      </w:r>
      <w:r w:rsidR="00884600">
        <w:rPr>
          <w:i w:val="0"/>
          <w:szCs w:val="24"/>
        </w:rPr>
        <w:t xml:space="preserve"> This </w:t>
      </w:r>
      <w:r w:rsidR="00B40D8D">
        <w:rPr>
          <w:i w:val="0"/>
          <w:szCs w:val="24"/>
        </w:rPr>
        <w:t xml:space="preserve">approach </w:t>
      </w:r>
      <w:r w:rsidR="00884600">
        <w:rPr>
          <w:i w:val="0"/>
          <w:szCs w:val="24"/>
        </w:rPr>
        <w:t>accords with the Council’s declaration of a climate change emergency.</w:t>
      </w:r>
    </w:p>
    <w:p w:rsidR="006D175A" w:rsidRDefault="006D175A" w:rsidP="00387704">
      <w:pPr>
        <w:rPr>
          <w:rFonts w:cs="Arial"/>
          <w:b/>
          <w:szCs w:val="24"/>
          <w:lang w:eastAsia="en-GB"/>
        </w:rPr>
      </w:pPr>
    </w:p>
    <w:p w:rsidR="000A134F" w:rsidRDefault="000A134F" w:rsidP="000A134F">
      <w:pPr>
        <w:ind w:left="851"/>
        <w:rPr>
          <w:rFonts w:cs="Arial"/>
          <w:b/>
          <w:szCs w:val="24"/>
          <w:lang w:eastAsia="en-GB"/>
        </w:rPr>
      </w:pPr>
      <w:r w:rsidRPr="000A134F">
        <w:rPr>
          <w:rFonts w:cs="Arial"/>
          <w:szCs w:val="24"/>
          <w:u w:val="single"/>
          <w:lang w:eastAsia="en-GB"/>
        </w:rPr>
        <w:t xml:space="preserve">Questions </w:t>
      </w:r>
      <w:r>
        <w:rPr>
          <w:rFonts w:cs="Arial"/>
          <w:szCs w:val="24"/>
          <w:u w:val="single"/>
          <w:lang w:eastAsia="en-GB"/>
        </w:rPr>
        <w:t>7</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457"/>
        <w:gridCol w:w="6292"/>
      </w:tblGrid>
      <w:tr w:rsidR="00200795" w:rsidRPr="00200795" w:rsidTr="00200795">
        <w:trPr>
          <w:trHeight w:val="255"/>
        </w:trPr>
        <w:tc>
          <w:tcPr>
            <w:tcW w:w="5000" w:type="pct"/>
            <w:gridSpan w:val="2"/>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 xml:space="preserve">Q7.  </w:t>
            </w:r>
            <w:r w:rsidR="00250987" w:rsidRPr="00250987">
              <w:rPr>
                <w:rFonts w:cs="Arial"/>
                <w:b/>
                <w:bCs/>
                <w:color w:val="000000"/>
                <w:sz w:val="20"/>
                <w:lang w:eastAsia="en-GB"/>
              </w:rPr>
              <w:t>Do you support the principle of incentivising the uptake of less polluting vehicles by considering vehicle CO2 emissions and fuel type?</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agree</w:t>
            </w:r>
          </w:p>
        </w:tc>
        <w:tc>
          <w:tcPr>
            <w:tcW w:w="3596" w:type="pct"/>
            <w:shd w:val="clear" w:color="auto" w:fill="auto"/>
            <w:noWrap/>
            <w:vAlign w:val="bottom"/>
            <w:hideMark/>
          </w:tcPr>
          <w:p w:rsidR="00200795" w:rsidRPr="00200795" w:rsidRDefault="007D2E03" w:rsidP="00200795">
            <w:pPr>
              <w:rPr>
                <w:rFonts w:cs="Arial"/>
                <w:sz w:val="20"/>
                <w:lang w:eastAsia="en-GB"/>
              </w:rPr>
            </w:pPr>
            <w:r>
              <w:rPr>
                <w:rFonts w:cs="Arial"/>
                <w:sz w:val="20"/>
                <w:lang w:eastAsia="en-GB"/>
              </w:rPr>
              <w:t>44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Agree</w:t>
            </w:r>
          </w:p>
        </w:tc>
        <w:tc>
          <w:tcPr>
            <w:tcW w:w="3596" w:type="pct"/>
            <w:shd w:val="clear" w:color="auto" w:fill="auto"/>
            <w:noWrap/>
            <w:vAlign w:val="bottom"/>
            <w:hideMark/>
          </w:tcPr>
          <w:p w:rsidR="00200795" w:rsidRPr="00200795" w:rsidRDefault="002808AB" w:rsidP="00200795">
            <w:pPr>
              <w:rPr>
                <w:rFonts w:cs="Arial"/>
                <w:sz w:val="20"/>
                <w:lang w:eastAsia="en-GB"/>
              </w:rPr>
            </w:pPr>
            <w:r>
              <w:rPr>
                <w:rFonts w:cs="Arial"/>
                <w:sz w:val="20"/>
                <w:lang w:eastAsia="en-GB"/>
              </w:rPr>
              <w:t>51</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Don't know</w:t>
            </w:r>
          </w:p>
        </w:tc>
        <w:tc>
          <w:tcPr>
            <w:tcW w:w="3596" w:type="pct"/>
            <w:shd w:val="clear" w:color="auto" w:fill="auto"/>
            <w:noWrap/>
            <w:vAlign w:val="bottom"/>
            <w:hideMark/>
          </w:tcPr>
          <w:p w:rsidR="00200795" w:rsidRPr="00200795" w:rsidRDefault="007D2E03" w:rsidP="00200795">
            <w:pPr>
              <w:rPr>
                <w:rFonts w:cs="Arial"/>
                <w:sz w:val="20"/>
                <w:lang w:eastAsia="en-GB"/>
              </w:rPr>
            </w:pPr>
            <w:r>
              <w:rPr>
                <w:rFonts w:cs="Arial"/>
                <w:sz w:val="20"/>
                <w:lang w:eastAsia="en-GB"/>
              </w:rPr>
              <w:t>5</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Disagree</w:t>
            </w:r>
          </w:p>
        </w:tc>
        <w:tc>
          <w:tcPr>
            <w:tcW w:w="3596" w:type="pct"/>
            <w:shd w:val="clear" w:color="auto" w:fill="auto"/>
            <w:noWrap/>
            <w:vAlign w:val="bottom"/>
            <w:hideMark/>
          </w:tcPr>
          <w:p w:rsidR="00200795" w:rsidRPr="00200795" w:rsidRDefault="00200795" w:rsidP="002808AB">
            <w:pPr>
              <w:rPr>
                <w:rFonts w:cs="Arial"/>
                <w:sz w:val="20"/>
                <w:lang w:eastAsia="en-GB"/>
              </w:rPr>
            </w:pPr>
            <w:r w:rsidRPr="00200795">
              <w:rPr>
                <w:rFonts w:cs="Arial"/>
                <w:sz w:val="20"/>
                <w:lang w:eastAsia="en-GB"/>
              </w:rPr>
              <w:t>1</w:t>
            </w:r>
            <w:r w:rsidR="002808AB">
              <w:rPr>
                <w:rFonts w:cs="Arial"/>
                <w:sz w:val="20"/>
                <w:lang w:eastAsia="en-GB"/>
              </w:rPr>
              <w:t>3</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disagree</w:t>
            </w:r>
          </w:p>
        </w:tc>
        <w:tc>
          <w:tcPr>
            <w:tcW w:w="3596" w:type="pct"/>
            <w:shd w:val="clear" w:color="auto" w:fill="auto"/>
            <w:noWrap/>
            <w:vAlign w:val="bottom"/>
            <w:hideMark/>
          </w:tcPr>
          <w:p w:rsidR="00200795" w:rsidRPr="00200795" w:rsidRDefault="007D2E03" w:rsidP="002808AB">
            <w:pPr>
              <w:rPr>
                <w:rFonts w:cs="Arial"/>
                <w:sz w:val="20"/>
                <w:lang w:eastAsia="en-GB"/>
              </w:rPr>
            </w:pPr>
            <w:r>
              <w:rPr>
                <w:rFonts w:cs="Arial"/>
                <w:sz w:val="20"/>
                <w:lang w:eastAsia="en-GB"/>
              </w:rPr>
              <w:t>3</w:t>
            </w:r>
            <w:r w:rsidR="002808AB">
              <w:rPr>
                <w:rFonts w:cs="Arial"/>
                <w:sz w:val="20"/>
                <w:lang w:eastAsia="en-GB"/>
              </w:rPr>
              <w:t>7</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Grand Total</w:t>
            </w:r>
          </w:p>
        </w:tc>
        <w:tc>
          <w:tcPr>
            <w:tcW w:w="3596" w:type="pct"/>
            <w:shd w:val="clear" w:color="auto" w:fill="auto"/>
            <w:noWrap/>
            <w:vAlign w:val="bottom"/>
            <w:hideMark/>
          </w:tcPr>
          <w:p w:rsidR="00200795" w:rsidRPr="00200795" w:rsidRDefault="00200795" w:rsidP="002808AB">
            <w:pPr>
              <w:rPr>
                <w:rFonts w:cs="Arial"/>
                <w:b/>
                <w:bCs/>
                <w:color w:val="000000"/>
                <w:sz w:val="20"/>
                <w:lang w:eastAsia="en-GB"/>
              </w:rPr>
            </w:pPr>
            <w:r w:rsidRPr="00200795">
              <w:rPr>
                <w:rFonts w:cs="Arial"/>
                <w:b/>
                <w:bCs/>
                <w:color w:val="000000"/>
                <w:sz w:val="20"/>
                <w:lang w:eastAsia="en-GB"/>
              </w:rPr>
              <w:t>1</w:t>
            </w:r>
            <w:r w:rsidR="002808AB">
              <w:rPr>
                <w:rFonts w:cs="Arial"/>
                <w:b/>
                <w:bCs/>
                <w:color w:val="000000"/>
                <w:sz w:val="20"/>
                <w:lang w:eastAsia="en-GB"/>
              </w:rPr>
              <w:t>50</w:t>
            </w:r>
          </w:p>
        </w:tc>
      </w:tr>
    </w:tbl>
    <w:p w:rsidR="00200795" w:rsidRDefault="00200795" w:rsidP="00387704">
      <w:pPr>
        <w:rPr>
          <w:rFonts w:cs="Arial"/>
          <w:b/>
          <w:szCs w:val="24"/>
          <w:lang w:eastAsia="en-GB"/>
        </w:rPr>
      </w:pPr>
    </w:p>
    <w:p w:rsidR="00D34350" w:rsidRPr="006D175A" w:rsidRDefault="00D34350" w:rsidP="00D34350">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7</w:t>
      </w:r>
      <w:r w:rsidRPr="006D175A">
        <w:rPr>
          <w:i w:val="0"/>
          <w:szCs w:val="24"/>
        </w:rPr>
        <w:t xml:space="preserve"> asks </w:t>
      </w:r>
      <w:r>
        <w:rPr>
          <w:i w:val="0"/>
          <w:szCs w:val="24"/>
        </w:rPr>
        <w:t xml:space="preserve">specifically about the use of vehicle emissions ratings and the type of fuel or power </w:t>
      </w:r>
      <w:r w:rsidR="007319BE">
        <w:rPr>
          <w:i w:val="0"/>
          <w:szCs w:val="24"/>
        </w:rPr>
        <w:t>source</w:t>
      </w:r>
      <w:r>
        <w:rPr>
          <w:i w:val="0"/>
          <w:szCs w:val="24"/>
        </w:rPr>
        <w:t xml:space="preserve"> as a basis for setting charges</w:t>
      </w:r>
      <w:r w:rsidRPr="006D175A">
        <w:rPr>
          <w:i w:val="0"/>
          <w:szCs w:val="24"/>
        </w:rPr>
        <w:t xml:space="preserve">. Approximately </w:t>
      </w:r>
      <w:r>
        <w:rPr>
          <w:i w:val="0"/>
          <w:szCs w:val="24"/>
        </w:rPr>
        <w:t>63</w:t>
      </w:r>
      <w:r w:rsidRPr="006D175A">
        <w:rPr>
          <w:i w:val="0"/>
          <w:szCs w:val="24"/>
        </w:rPr>
        <w:t xml:space="preserve">% of respondents agree with these principles and </w:t>
      </w:r>
      <w:r>
        <w:rPr>
          <w:i w:val="0"/>
          <w:szCs w:val="24"/>
        </w:rPr>
        <w:t>33</w:t>
      </w:r>
      <w:r w:rsidRPr="006D175A">
        <w:rPr>
          <w:i w:val="0"/>
          <w:szCs w:val="24"/>
        </w:rPr>
        <w:t>% disagree.</w:t>
      </w:r>
      <w:r w:rsidR="002F1F73">
        <w:rPr>
          <w:i w:val="0"/>
          <w:szCs w:val="24"/>
        </w:rPr>
        <w:t xml:space="preserve"> With an increasing uptake of electric or hybrid vehicles in the borough it is clear that there is </w:t>
      </w:r>
      <w:r w:rsidR="007319BE">
        <w:rPr>
          <w:i w:val="0"/>
          <w:szCs w:val="24"/>
        </w:rPr>
        <w:t xml:space="preserve">wider </w:t>
      </w:r>
      <w:r w:rsidR="002F1F73">
        <w:rPr>
          <w:i w:val="0"/>
          <w:szCs w:val="24"/>
        </w:rPr>
        <w:t>support for charging based on less polluting vehicles.</w:t>
      </w:r>
    </w:p>
    <w:p w:rsidR="00D34350" w:rsidRDefault="00D34350" w:rsidP="00387704">
      <w:pPr>
        <w:rPr>
          <w:rFonts w:cs="Arial"/>
          <w:b/>
          <w:szCs w:val="24"/>
          <w:lang w:eastAsia="en-GB"/>
        </w:rPr>
      </w:pPr>
    </w:p>
    <w:p w:rsidR="000A134F" w:rsidRDefault="000A134F" w:rsidP="000A134F">
      <w:pPr>
        <w:ind w:left="851"/>
        <w:rPr>
          <w:rFonts w:cs="Arial"/>
          <w:b/>
          <w:szCs w:val="24"/>
          <w:lang w:eastAsia="en-GB"/>
        </w:rPr>
      </w:pPr>
      <w:r w:rsidRPr="000A134F">
        <w:rPr>
          <w:rFonts w:cs="Arial"/>
          <w:szCs w:val="24"/>
          <w:u w:val="single"/>
          <w:lang w:eastAsia="en-GB"/>
        </w:rPr>
        <w:t xml:space="preserve">Questions </w:t>
      </w:r>
      <w:r>
        <w:rPr>
          <w:rFonts w:cs="Arial"/>
          <w:szCs w:val="24"/>
          <w:u w:val="single"/>
          <w:lang w:eastAsia="en-GB"/>
        </w:rPr>
        <w:t>8</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457"/>
        <w:gridCol w:w="6292"/>
      </w:tblGrid>
      <w:tr w:rsidR="0015571D" w:rsidRPr="00B778F3" w:rsidTr="00E70322">
        <w:trPr>
          <w:trHeight w:val="255"/>
        </w:trPr>
        <w:tc>
          <w:tcPr>
            <w:tcW w:w="5000" w:type="pct"/>
            <w:gridSpan w:val="2"/>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 xml:space="preserve">Q8.    </w:t>
            </w:r>
            <w:r w:rsidRPr="00250987">
              <w:rPr>
                <w:rFonts w:cs="Arial"/>
                <w:b/>
                <w:bCs/>
                <w:color w:val="000000"/>
                <w:sz w:val="20"/>
                <w:lang w:eastAsia="en-GB"/>
              </w:rPr>
              <w:t>Do you support the principle of setting charges that reflect the parking demand in different types of town centre?</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agree</w:t>
            </w:r>
          </w:p>
        </w:tc>
        <w:tc>
          <w:tcPr>
            <w:tcW w:w="3596" w:type="pct"/>
            <w:shd w:val="clear" w:color="auto" w:fill="auto"/>
            <w:noWrap/>
            <w:vAlign w:val="bottom"/>
            <w:hideMark/>
          </w:tcPr>
          <w:p w:rsidR="0015571D" w:rsidRPr="00B778F3" w:rsidRDefault="007D2E03" w:rsidP="00E70322">
            <w:pPr>
              <w:rPr>
                <w:rFonts w:cs="Arial"/>
                <w:sz w:val="20"/>
                <w:lang w:eastAsia="en-GB"/>
              </w:rPr>
            </w:pPr>
            <w:r>
              <w:rPr>
                <w:rFonts w:cs="Arial"/>
                <w:sz w:val="20"/>
                <w:lang w:eastAsia="en-GB"/>
              </w:rPr>
              <w:t>20</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Agree</w:t>
            </w:r>
          </w:p>
        </w:tc>
        <w:tc>
          <w:tcPr>
            <w:tcW w:w="3596" w:type="pct"/>
            <w:shd w:val="clear" w:color="auto" w:fill="auto"/>
            <w:noWrap/>
            <w:vAlign w:val="bottom"/>
            <w:hideMark/>
          </w:tcPr>
          <w:p w:rsidR="0015571D" w:rsidRPr="00B778F3" w:rsidRDefault="007D2E03" w:rsidP="00C96637">
            <w:pPr>
              <w:rPr>
                <w:rFonts w:cs="Arial"/>
                <w:sz w:val="20"/>
                <w:lang w:eastAsia="en-GB"/>
              </w:rPr>
            </w:pPr>
            <w:r>
              <w:rPr>
                <w:rFonts w:cs="Arial"/>
                <w:sz w:val="20"/>
                <w:lang w:eastAsia="en-GB"/>
              </w:rPr>
              <w:t>4</w:t>
            </w:r>
            <w:r w:rsidR="00C96637">
              <w:rPr>
                <w:rFonts w:cs="Arial"/>
                <w:sz w:val="20"/>
                <w:lang w:eastAsia="en-GB"/>
              </w:rPr>
              <w:t>2</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Don't know</w:t>
            </w:r>
          </w:p>
        </w:tc>
        <w:tc>
          <w:tcPr>
            <w:tcW w:w="3596" w:type="pct"/>
            <w:shd w:val="clear" w:color="auto" w:fill="auto"/>
            <w:noWrap/>
            <w:vAlign w:val="bottom"/>
            <w:hideMark/>
          </w:tcPr>
          <w:p w:rsidR="0015571D" w:rsidRPr="00B778F3" w:rsidRDefault="007D2E03" w:rsidP="00C96637">
            <w:pPr>
              <w:rPr>
                <w:rFonts w:cs="Arial"/>
                <w:sz w:val="20"/>
                <w:lang w:eastAsia="en-GB"/>
              </w:rPr>
            </w:pPr>
            <w:r>
              <w:rPr>
                <w:rFonts w:cs="Arial"/>
                <w:sz w:val="20"/>
                <w:lang w:eastAsia="en-GB"/>
              </w:rPr>
              <w:t>1</w:t>
            </w:r>
            <w:r w:rsidR="00C96637">
              <w:rPr>
                <w:rFonts w:cs="Arial"/>
                <w:sz w:val="20"/>
                <w:lang w:eastAsia="en-GB"/>
              </w:rPr>
              <w:t>7</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Disagree</w:t>
            </w:r>
          </w:p>
        </w:tc>
        <w:tc>
          <w:tcPr>
            <w:tcW w:w="3596" w:type="pct"/>
            <w:shd w:val="clear" w:color="auto" w:fill="auto"/>
            <w:noWrap/>
            <w:vAlign w:val="bottom"/>
            <w:hideMark/>
          </w:tcPr>
          <w:p w:rsidR="0015571D" w:rsidRPr="00B778F3" w:rsidRDefault="00F07FCB" w:rsidP="00C96637">
            <w:pPr>
              <w:rPr>
                <w:rFonts w:cs="Arial"/>
                <w:sz w:val="20"/>
                <w:lang w:eastAsia="en-GB"/>
              </w:rPr>
            </w:pPr>
            <w:r>
              <w:rPr>
                <w:rFonts w:cs="Arial"/>
                <w:sz w:val="20"/>
                <w:lang w:eastAsia="en-GB"/>
              </w:rPr>
              <w:t>3</w:t>
            </w:r>
            <w:r w:rsidR="00C96637">
              <w:rPr>
                <w:rFonts w:cs="Arial"/>
                <w:sz w:val="20"/>
                <w:lang w:eastAsia="en-GB"/>
              </w:rPr>
              <w:t>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disagree</w:t>
            </w:r>
          </w:p>
        </w:tc>
        <w:tc>
          <w:tcPr>
            <w:tcW w:w="3596" w:type="pct"/>
            <w:shd w:val="clear" w:color="auto" w:fill="auto"/>
            <w:noWrap/>
            <w:vAlign w:val="bottom"/>
            <w:hideMark/>
          </w:tcPr>
          <w:p w:rsidR="0015571D" w:rsidRPr="00B778F3" w:rsidRDefault="00F07FCB" w:rsidP="00C96637">
            <w:pPr>
              <w:rPr>
                <w:rFonts w:cs="Arial"/>
                <w:sz w:val="20"/>
                <w:lang w:eastAsia="en-GB"/>
              </w:rPr>
            </w:pPr>
            <w:r>
              <w:rPr>
                <w:rFonts w:cs="Arial"/>
                <w:sz w:val="20"/>
                <w:lang w:eastAsia="en-GB"/>
              </w:rPr>
              <w:t>4</w:t>
            </w:r>
            <w:r w:rsidR="00C96637">
              <w:rPr>
                <w:rFonts w:cs="Arial"/>
                <w:sz w:val="20"/>
                <w:lang w:eastAsia="en-GB"/>
              </w:rPr>
              <w:t>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Grand Total</w:t>
            </w:r>
          </w:p>
        </w:tc>
        <w:tc>
          <w:tcPr>
            <w:tcW w:w="3596" w:type="pct"/>
            <w:shd w:val="clear" w:color="auto" w:fill="auto"/>
            <w:noWrap/>
            <w:vAlign w:val="bottom"/>
            <w:hideMark/>
          </w:tcPr>
          <w:p w:rsidR="0015571D" w:rsidRPr="00B778F3" w:rsidRDefault="0015571D" w:rsidP="00C96637">
            <w:pPr>
              <w:rPr>
                <w:rFonts w:cs="Arial"/>
                <w:b/>
                <w:bCs/>
                <w:color w:val="000000"/>
                <w:sz w:val="20"/>
                <w:lang w:eastAsia="en-GB"/>
              </w:rPr>
            </w:pPr>
            <w:r w:rsidRPr="00B778F3">
              <w:rPr>
                <w:rFonts w:cs="Arial"/>
                <w:b/>
                <w:bCs/>
                <w:color w:val="000000"/>
                <w:sz w:val="20"/>
                <w:lang w:eastAsia="en-GB"/>
              </w:rPr>
              <w:t>1</w:t>
            </w:r>
            <w:r w:rsidR="00C96637">
              <w:rPr>
                <w:rFonts w:cs="Arial"/>
                <w:b/>
                <w:bCs/>
                <w:color w:val="000000"/>
                <w:sz w:val="20"/>
                <w:lang w:eastAsia="en-GB"/>
              </w:rPr>
              <w:t>51</w:t>
            </w:r>
          </w:p>
        </w:tc>
      </w:tr>
    </w:tbl>
    <w:p w:rsidR="0015571D" w:rsidRDefault="0015571D" w:rsidP="00387704">
      <w:pPr>
        <w:rPr>
          <w:rFonts w:cs="Arial"/>
          <w:b/>
          <w:szCs w:val="24"/>
          <w:lang w:eastAsia="en-GB"/>
        </w:rPr>
      </w:pPr>
    </w:p>
    <w:p w:rsidR="0015571D" w:rsidRDefault="0015571D" w:rsidP="0015571D">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8</w:t>
      </w:r>
      <w:r w:rsidRPr="006D175A">
        <w:rPr>
          <w:i w:val="0"/>
          <w:szCs w:val="24"/>
        </w:rPr>
        <w:t xml:space="preserve"> asks </w:t>
      </w:r>
      <w:r>
        <w:rPr>
          <w:i w:val="0"/>
          <w:szCs w:val="24"/>
        </w:rPr>
        <w:t>specifically about varying charges based on</w:t>
      </w:r>
      <w:r w:rsidR="00B40D8D">
        <w:rPr>
          <w:i w:val="0"/>
          <w:szCs w:val="24"/>
        </w:rPr>
        <w:t xml:space="preserve"> the</w:t>
      </w:r>
      <w:r>
        <w:rPr>
          <w:i w:val="0"/>
          <w:szCs w:val="24"/>
        </w:rPr>
        <w:t xml:space="preserve"> location</w:t>
      </w:r>
      <w:r w:rsidR="00B40D8D">
        <w:rPr>
          <w:i w:val="0"/>
          <w:szCs w:val="24"/>
        </w:rPr>
        <w:t xml:space="preserve"> and type of town centre</w:t>
      </w:r>
      <w:r>
        <w:rPr>
          <w:i w:val="0"/>
          <w:szCs w:val="24"/>
        </w:rPr>
        <w:t>. This provision applies specifically to business and trader permits as explained earlier in the report and would mean that higher charges would apply in areas with greater parking demand such as Harrow town centre</w:t>
      </w:r>
      <w:r w:rsidR="007319BE">
        <w:rPr>
          <w:i w:val="0"/>
          <w:szCs w:val="24"/>
        </w:rPr>
        <w:t xml:space="preserve"> for example</w:t>
      </w:r>
      <w:r>
        <w:rPr>
          <w:i w:val="0"/>
          <w:szCs w:val="24"/>
        </w:rPr>
        <w:t>. This principle already applies to “pay and display” parking in the borough</w:t>
      </w:r>
      <w:r w:rsidR="00B40D8D">
        <w:rPr>
          <w:i w:val="0"/>
          <w:szCs w:val="24"/>
        </w:rPr>
        <w:t xml:space="preserve"> already</w:t>
      </w:r>
      <w:r>
        <w:rPr>
          <w:i w:val="0"/>
          <w:szCs w:val="24"/>
        </w:rPr>
        <w:t xml:space="preserve">. </w:t>
      </w:r>
      <w:r w:rsidRPr="006D175A">
        <w:rPr>
          <w:i w:val="0"/>
          <w:szCs w:val="24"/>
        </w:rPr>
        <w:t xml:space="preserve">Approximately </w:t>
      </w:r>
      <w:r>
        <w:rPr>
          <w:i w:val="0"/>
          <w:szCs w:val="24"/>
        </w:rPr>
        <w:t>4</w:t>
      </w:r>
      <w:r w:rsidR="00C96637">
        <w:rPr>
          <w:i w:val="0"/>
          <w:szCs w:val="24"/>
        </w:rPr>
        <w:t>1</w:t>
      </w:r>
      <w:r w:rsidR="007319BE">
        <w:rPr>
          <w:i w:val="0"/>
          <w:szCs w:val="24"/>
        </w:rPr>
        <w:t>% of respondents agree with this</w:t>
      </w:r>
      <w:r w:rsidRPr="006D175A">
        <w:rPr>
          <w:i w:val="0"/>
          <w:szCs w:val="24"/>
        </w:rPr>
        <w:t xml:space="preserve"> principle and </w:t>
      </w:r>
      <w:r>
        <w:rPr>
          <w:i w:val="0"/>
          <w:szCs w:val="24"/>
        </w:rPr>
        <w:t>47</w:t>
      </w:r>
      <w:r w:rsidRPr="006D175A">
        <w:rPr>
          <w:i w:val="0"/>
          <w:szCs w:val="24"/>
        </w:rPr>
        <w:t>% disagree.</w:t>
      </w:r>
      <w:r>
        <w:rPr>
          <w:i w:val="0"/>
          <w:szCs w:val="24"/>
        </w:rPr>
        <w:t xml:space="preserve"> </w:t>
      </w:r>
      <w:r w:rsidR="00A22218">
        <w:rPr>
          <w:i w:val="0"/>
          <w:szCs w:val="24"/>
        </w:rPr>
        <w:t>There are</w:t>
      </w:r>
      <w:r w:rsidR="007319BE">
        <w:rPr>
          <w:i w:val="0"/>
          <w:szCs w:val="24"/>
        </w:rPr>
        <w:t xml:space="preserve"> 1</w:t>
      </w:r>
      <w:r w:rsidR="00F07FCB">
        <w:rPr>
          <w:i w:val="0"/>
          <w:szCs w:val="24"/>
        </w:rPr>
        <w:t>1</w:t>
      </w:r>
      <w:r w:rsidR="007319BE">
        <w:rPr>
          <w:i w:val="0"/>
          <w:szCs w:val="24"/>
        </w:rPr>
        <w:t xml:space="preserve">% that are </w:t>
      </w:r>
      <w:r>
        <w:rPr>
          <w:i w:val="0"/>
          <w:szCs w:val="24"/>
        </w:rPr>
        <w:t xml:space="preserve">uncertain. </w:t>
      </w:r>
      <w:r w:rsidR="00A22218">
        <w:rPr>
          <w:i w:val="0"/>
          <w:szCs w:val="24"/>
        </w:rPr>
        <w:t xml:space="preserve">The results for this question, however, </w:t>
      </w:r>
      <w:r w:rsidR="00E97F4D">
        <w:rPr>
          <w:i w:val="0"/>
          <w:szCs w:val="24"/>
        </w:rPr>
        <w:t>are considered</w:t>
      </w:r>
      <w:r w:rsidR="00A22218">
        <w:rPr>
          <w:i w:val="0"/>
          <w:szCs w:val="24"/>
        </w:rPr>
        <w:t xml:space="preserve"> misleading because </w:t>
      </w:r>
      <w:r w:rsidR="00430985">
        <w:rPr>
          <w:i w:val="0"/>
          <w:szCs w:val="24"/>
        </w:rPr>
        <w:t xml:space="preserve">many residents have responded to this question even though the main impact is on businesses and traders. </w:t>
      </w:r>
      <w:r>
        <w:rPr>
          <w:i w:val="0"/>
          <w:szCs w:val="24"/>
        </w:rPr>
        <w:t>Therefore an analysis of the responses from businesses</w:t>
      </w:r>
      <w:r w:rsidR="00430985">
        <w:rPr>
          <w:i w:val="0"/>
          <w:szCs w:val="24"/>
        </w:rPr>
        <w:t xml:space="preserve"> only </w:t>
      </w:r>
      <w:r w:rsidR="00E97F4D">
        <w:rPr>
          <w:i w:val="0"/>
          <w:szCs w:val="24"/>
        </w:rPr>
        <w:t>(</w:t>
      </w:r>
      <w:r w:rsidR="007319BE">
        <w:rPr>
          <w:i w:val="0"/>
          <w:szCs w:val="24"/>
        </w:rPr>
        <w:t xml:space="preserve">identifying business respondents from </w:t>
      </w:r>
      <w:r w:rsidR="00E97F4D">
        <w:rPr>
          <w:i w:val="0"/>
          <w:szCs w:val="24"/>
        </w:rPr>
        <w:t>Q</w:t>
      </w:r>
      <w:r w:rsidR="00F07FCB">
        <w:rPr>
          <w:i w:val="0"/>
          <w:szCs w:val="24"/>
        </w:rPr>
        <w:t>2</w:t>
      </w:r>
      <w:r w:rsidR="00E97F4D">
        <w:rPr>
          <w:i w:val="0"/>
          <w:szCs w:val="24"/>
        </w:rPr>
        <w:t>)</w:t>
      </w:r>
      <w:r>
        <w:rPr>
          <w:i w:val="0"/>
          <w:szCs w:val="24"/>
        </w:rPr>
        <w:t xml:space="preserve"> to this question </w:t>
      </w:r>
      <w:r w:rsidR="00E97F4D">
        <w:rPr>
          <w:i w:val="0"/>
          <w:szCs w:val="24"/>
        </w:rPr>
        <w:t>has also been</w:t>
      </w:r>
      <w:r>
        <w:rPr>
          <w:i w:val="0"/>
          <w:szCs w:val="24"/>
        </w:rPr>
        <w:t xml:space="preserve"> assessed</w:t>
      </w:r>
      <w:r w:rsidR="00B40D8D">
        <w:rPr>
          <w:i w:val="0"/>
          <w:szCs w:val="24"/>
        </w:rPr>
        <w:t xml:space="preserve"> and is shown below</w:t>
      </w:r>
      <w:r>
        <w:rPr>
          <w:i w:val="0"/>
          <w:szCs w:val="24"/>
        </w:rPr>
        <w:t xml:space="preserve">.  </w:t>
      </w:r>
    </w:p>
    <w:p w:rsidR="0015571D" w:rsidRDefault="0015571D" w:rsidP="0015571D">
      <w:pPr>
        <w:pStyle w:val="BodyText"/>
        <w:tabs>
          <w:tab w:val="left" w:pos="851"/>
        </w:tabs>
        <w:ind w:left="851"/>
        <w:rPr>
          <w:i w:val="0"/>
          <w:szCs w:val="24"/>
        </w:rPr>
      </w:pPr>
    </w:p>
    <w:tbl>
      <w:tblPr>
        <w:tblW w:w="4438" w:type="pct"/>
        <w:tblInd w:w="959" w:type="dxa"/>
        <w:tblLayout w:type="fixed"/>
        <w:tblLook w:val="04A0" w:firstRow="1" w:lastRow="0" w:firstColumn="1" w:lastColumn="0" w:noHBand="0" w:noVBand="1"/>
      </w:tblPr>
      <w:tblGrid>
        <w:gridCol w:w="2457"/>
        <w:gridCol w:w="6292"/>
      </w:tblGrid>
      <w:tr w:rsidR="0015571D" w:rsidRPr="00B778F3" w:rsidTr="00E70322">
        <w:trPr>
          <w:trHeight w:val="255"/>
        </w:trPr>
        <w:tc>
          <w:tcPr>
            <w:tcW w:w="5000" w:type="pct"/>
            <w:gridSpan w:val="2"/>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 xml:space="preserve">Q8.    </w:t>
            </w:r>
            <w:r>
              <w:rPr>
                <w:rFonts w:cs="Arial"/>
                <w:b/>
                <w:bCs/>
                <w:color w:val="000000"/>
                <w:sz w:val="20"/>
                <w:lang w:eastAsia="en-GB"/>
              </w:rPr>
              <w:t xml:space="preserve">Businesses only - </w:t>
            </w:r>
            <w:r w:rsidRPr="00250987">
              <w:rPr>
                <w:rFonts w:cs="Arial"/>
                <w:b/>
                <w:bCs/>
                <w:color w:val="000000"/>
                <w:sz w:val="20"/>
                <w:lang w:eastAsia="en-GB"/>
              </w:rPr>
              <w:t>Do you support the principle of setting charges that reflect the parking demand in different types of town centre?</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2</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4</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Don't know</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Disagree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3</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disagree</w:t>
            </w:r>
          </w:p>
        </w:tc>
        <w:tc>
          <w:tcPr>
            <w:tcW w:w="3596" w:type="pct"/>
            <w:shd w:val="clear" w:color="auto" w:fill="auto"/>
            <w:noWrap/>
            <w:vAlign w:val="bottom"/>
            <w:hideMark/>
          </w:tcPr>
          <w:p w:rsidR="0015571D" w:rsidRPr="00B778F3" w:rsidRDefault="0015571D" w:rsidP="00E70322">
            <w:pPr>
              <w:rPr>
                <w:rFonts w:cs="Arial"/>
                <w:sz w:val="20"/>
                <w:lang w:eastAsia="en-GB"/>
              </w:rPr>
            </w:pPr>
            <w:r>
              <w:rPr>
                <w:rFonts w:cs="Arial"/>
                <w:sz w:val="20"/>
                <w:lang w:eastAsia="en-GB"/>
              </w:rPr>
              <w:t>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Grand Total</w:t>
            </w:r>
          </w:p>
        </w:tc>
        <w:tc>
          <w:tcPr>
            <w:tcW w:w="3596"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1</w:t>
            </w:r>
            <w:r w:rsidR="00F07FCB">
              <w:rPr>
                <w:rFonts w:cs="Arial"/>
                <w:b/>
                <w:bCs/>
                <w:color w:val="000000"/>
                <w:sz w:val="20"/>
                <w:lang w:eastAsia="en-GB"/>
              </w:rPr>
              <w:t>1</w:t>
            </w:r>
          </w:p>
        </w:tc>
      </w:tr>
    </w:tbl>
    <w:p w:rsidR="0015571D" w:rsidRDefault="0015571D" w:rsidP="0015571D">
      <w:pPr>
        <w:pStyle w:val="BodyText"/>
        <w:tabs>
          <w:tab w:val="left" w:pos="851"/>
        </w:tabs>
        <w:ind w:left="851"/>
        <w:rPr>
          <w:i w:val="0"/>
          <w:szCs w:val="24"/>
        </w:rPr>
      </w:pPr>
    </w:p>
    <w:p w:rsidR="00D53DBA" w:rsidRPr="000A0271" w:rsidRDefault="0015571D" w:rsidP="00387704">
      <w:pPr>
        <w:pStyle w:val="BodyText"/>
        <w:numPr>
          <w:ilvl w:val="0"/>
          <w:numId w:val="3"/>
        </w:numPr>
        <w:tabs>
          <w:tab w:val="clear" w:pos="720"/>
          <w:tab w:val="left" w:pos="851"/>
        </w:tabs>
        <w:ind w:left="851" w:hanging="851"/>
        <w:rPr>
          <w:b/>
          <w:i w:val="0"/>
          <w:szCs w:val="24"/>
          <w:lang w:eastAsia="en-GB"/>
        </w:rPr>
      </w:pPr>
      <w:r w:rsidRPr="0015571D">
        <w:rPr>
          <w:i w:val="0"/>
          <w:szCs w:val="24"/>
        </w:rPr>
        <w:t xml:space="preserve">It can be seen in the analysis of responses from businesses that approximately </w:t>
      </w:r>
      <w:r w:rsidR="00286A57">
        <w:rPr>
          <w:i w:val="0"/>
          <w:szCs w:val="24"/>
        </w:rPr>
        <w:t>54</w:t>
      </w:r>
      <w:r w:rsidRPr="0015571D">
        <w:rPr>
          <w:i w:val="0"/>
          <w:szCs w:val="24"/>
        </w:rPr>
        <w:t xml:space="preserve">% of respondents agree with </w:t>
      </w:r>
      <w:r w:rsidR="00E97F4D">
        <w:rPr>
          <w:i w:val="0"/>
          <w:szCs w:val="24"/>
        </w:rPr>
        <w:t>charging based on location</w:t>
      </w:r>
      <w:r w:rsidRPr="0015571D">
        <w:rPr>
          <w:i w:val="0"/>
          <w:szCs w:val="24"/>
        </w:rPr>
        <w:t xml:space="preserve"> and 3</w:t>
      </w:r>
      <w:r w:rsidR="00286A57">
        <w:rPr>
          <w:i w:val="0"/>
          <w:szCs w:val="24"/>
        </w:rPr>
        <w:t>6</w:t>
      </w:r>
      <w:r w:rsidRPr="0015571D">
        <w:rPr>
          <w:i w:val="0"/>
          <w:szCs w:val="24"/>
        </w:rPr>
        <w:t xml:space="preserve">% disagree. </w:t>
      </w:r>
      <w:r w:rsidR="00E97F4D">
        <w:rPr>
          <w:i w:val="0"/>
          <w:szCs w:val="24"/>
        </w:rPr>
        <w:t>When considering the number of businesses located within CPZs there are a</w:t>
      </w:r>
      <w:r w:rsidRPr="0015571D">
        <w:rPr>
          <w:i w:val="0"/>
          <w:szCs w:val="24"/>
        </w:rPr>
        <w:t xml:space="preserve"> </w:t>
      </w:r>
      <w:r w:rsidR="007319BE">
        <w:rPr>
          <w:i w:val="0"/>
          <w:szCs w:val="24"/>
        </w:rPr>
        <w:t xml:space="preserve">much </w:t>
      </w:r>
      <w:r w:rsidR="00E97F4D">
        <w:rPr>
          <w:i w:val="0"/>
          <w:szCs w:val="24"/>
        </w:rPr>
        <w:t>high</w:t>
      </w:r>
      <w:r w:rsidR="007319BE">
        <w:rPr>
          <w:i w:val="0"/>
          <w:szCs w:val="24"/>
        </w:rPr>
        <w:t>er</w:t>
      </w:r>
      <w:r w:rsidRPr="0015571D">
        <w:rPr>
          <w:i w:val="0"/>
          <w:szCs w:val="24"/>
        </w:rPr>
        <w:t xml:space="preserve"> proportion located in local or district centres </w:t>
      </w:r>
      <w:r w:rsidR="00E97F4D">
        <w:rPr>
          <w:i w:val="0"/>
          <w:szCs w:val="24"/>
        </w:rPr>
        <w:t>that would attract</w:t>
      </w:r>
      <w:r w:rsidRPr="0015571D">
        <w:rPr>
          <w:i w:val="0"/>
          <w:szCs w:val="24"/>
        </w:rPr>
        <w:t xml:space="preserve"> lower </w:t>
      </w:r>
      <w:r w:rsidR="00E97F4D">
        <w:rPr>
          <w:i w:val="0"/>
          <w:szCs w:val="24"/>
        </w:rPr>
        <w:t xml:space="preserve">charges under this arrangement. </w:t>
      </w:r>
      <w:r w:rsidR="00430985">
        <w:rPr>
          <w:i w:val="0"/>
          <w:szCs w:val="24"/>
        </w:rPr>
        <w:t xml:space="preserve">The highest charges only affect Harrow </w:t>
      </w:r>
      <w:r w:rsidR="007319BE">
        <w:rPr>
          <w:i w:val="0"/>
          <w:szCs w:val="24"/>
        </w:rPr>
        <w:t>T</w:t>
      </w:r>
      <w:r w:rsidR="00430985">
        <w:rPr>
          <w:i w:val="0"/>
          <w:szCs w:val="24"/>
        </w:rPr>
        <w:t xml:space="preserve">own Centre. </w:t>
      </w:r>
      <w:r w:rsidR="00E97F4D">
        <w:rPr>
          <w:i w:val="0"/>
          <w:szCs w:val="24"/>
        </w:rPr>
        <w:t xml:space="preserve">The results </w:t>
      </w:r>
      <w:r w:rsidR="00430985">
        <w:rPr>
          <w:i w:val="0"/>
          <w:szCs w:val="24"/>
        </w:rPr>
        <w:t xml:space="preserve">therefore </w:t>
      </w:r>
      <w:r w:rsidR="00E97F4D">
        <w:rPr>
          <w:i w:val="0"/>
          <w:szCs w:val="24"/>
        </w:rPr>
        <w:t>do</w:t>
      </w:r>
      <w:r w:rsidRPr="0015571D">
        <w:rPr>
          <w:i w:val="0"/>
          <w:szCs w:val="24"/>
        </w:rPr>
        <w:t xml:space="preserve"> demonstrate a larger number</w:t>
      </w:r>
      <w:r w:rsidR="00430985">
        <w:rPr>
          <w:i w:val="0"/>
          <w:szCs w:val="24"/>
        </w:rPr>
        <w:t xml:space="preserve"> of businesses </w:t>
      </w:r>
      <w:r w:rsidRPr="0015571D">
        <w:rPr>
          <w:i w:val="0"/>
          <w:szCs w:val="24"/>
        </w:rPr>
        <w:t>in agreement with the proposals.</w:t>
      </w:r>
    </w:p>
    <w:p w:rsidR="000A0271" w:rsidRPr="0015571D" w:rsidRDefault="000A0271" w:rsidP="000A0271">
      <w:pPr>
        <w:pStyle w:val="BodyText"/>
        <w:tabs>
          <w:tab w:val="left" w:pos="851"/>
        </w:tabs>
        <w:rPr>
          <w:b/>
          <w:i w:val="0"/>
          <w:szCs w:val="24"/>
          <w:lang w:eastAsia="en-GB"/>
        </w:rPr>
      </w:pPr>
    </w:p>
    <w:p w:rsidR="000A0271" w:rsidRPr="000A0271" w:rsidRDefault="000A0271" w:rsidP="000A0271">
      <w:pPr>
        <w:ind w:left="851"/>
        <w:rPr>
          <w:rFonts w:cs="Arial"/>
          <w:szCs w:val="24"/>
          <w:u w:val="single"/>
          <w:lang w:eastAsia="en-GB"/>
        </w:rPr>
      </w:pPr>
      <w:r w:rsidRPr="000A0271">
        <w:rPr>
          <w:rFonts w:cs="Arial"/>
          <w:szCs w:val="24"/>
          <w:u w:val="single"/>
          <w:lang w:eastAsia="en-GB"/>
        </w:rPr>
        <w:t>Questions 9</w:t>
      </w:r>
    </w:p>
    <w:p w:rsidR="0015571D" w:rsidRDefault="0015571D"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623"/>
        <w:gridCol w:w="6126"/>
      </w:tblGrid>
      <w:tr w:rsidR="00D53DBA" w:rsidRPr="00D53DBA" w:rsidTr="004729C5">
        <w:trPr>
          <w:trHeight w:val="255"/>
        </w:trPr>
        <w:tc>
          <w:tcPr>
            <w:tcW w:w="5000" w:type="pct"/>
            <w:gridSpan w:val="2"/>
            <w:shd w:val="clear" w:color="auto" w:fill="auto"/>
            <w:noWrap/>
            <w:vAlign w:val="bottom"/>
            <w:hideMark/>
          </w:tcPr>
          <w:p w:rsidR="00D53DBA" w:rsidRPr="00D53DBA" w:rsidRDefault="00D53DBA" w:rsidP="00D53DBA">
            <w:pPr>
              <w:rPr>
                <w:rFonts w:cs="Arial"/>
                <w:b/>
                <w:bCs/>
                <w:color w:val="000000"/>
                <w:sz w:val="20"/>
                <w:lang w:eastAsia="en-GB"/>
              </w:rPr>
            </w:pPr>
            <w:r w:rsidRPr="00D53DBA">
              <w:rPr>
                <w:rFonts w:cs="Arial"/>
                <w:b/>
                <w:bCs/>
                <w:color w:val="000000"/>
                <w:sz w:val="20"/>
                <w:lang w:eastAsia="en-GB"/>
              </w:rPr>
              <w:t xml:space="preserve">Q9.    </w:t>
            </w:r>
            <w:r w:rsidR="00250987" w:rsidRPr="00250987">
              <w:rPr>
                <w:rFonts w:cs="Arial"/>
                <w:b/>
                <w:bCs/>
                <w:color w:val="000000"/>
                <w:sz w:val="20"/>
                <w:lang w:eastAsia="en-GB"/>
              </w:rPr>
              <w:t>Do you support the principle of creating Trader permits to provide greater flexibility for local businesses and traders?</w:t>
            </w:r>
          </w:p>
        </w:tc>
      </w:tr>
      <w:tr w:rsidR="004729C5" w:rsidRPr="00D53DBA" w:rsidTr="004729C5">
        <w:trPr>
          <w:trHeight w:val="255"/>
        </w:trPr>
        <w:tc>
          <w:tcPr>
            <w:tcW w:w="1499" w:type="pct"/>
            <w:shd w:val="clear" w:color="auto" w:fill="auto"/>
            <w:noWrap/>
            <w:vAlign w:val="bottom"/>
            <w:hideMark/>
          </w:tcPr>
          <w:p w:rsidR="00D53DBA" w:rsidRPr="00D53DBA" w:rsidRDefault="00D53DBA" w:rsidP="00CF24C9">
            <w:pPr>
              <w:rPr>
                <w:rFonts w:cs="Arial"/>
                <w:sz w:val="20"/>
                <w:lang w:eastAsia="en-GB"/>
              </w:rPr>
            </w:pPr>
            <w:r w:rsidRPr="00D53DBA">
              <w:rPr>
                <w:rFonts w:cs="Arial"/>
                <w:sz w:val="20"/>
                <w:lang w:eastAsia="en-GB"/>
              </w:rPr>
              <w:t>Strongly agree</w:t>
            </w:r>
          </w:p>
        </w:tc>
        <w:tc>
          <w:tcPr>
            <w:tcW w:w="3501" w:type="pct"/>
            <w:shd w:val="clear" w:color="auto" w:fill="auto"/>
            <w:noWrap/>
            <w:vAlign w:val="bottom"/>
            <w:hideMark/>
          </w:tcPr>
          <w:p w:rsidR="00D53DBA" w:rsidRPr="00D53DBA" w:rsidRDefault="000012F5" w:rsidP="00CF24C9">
            <w:pPr>
              <w:rPr>
                <w:rFonts w:cs="Arial"/>
                <w:sz w:val="20"/>
                <w:lang w:eastAsia="en-GB"/>
              </w:rPr>
            </w:pPr>
            <w:r>
              <w:rPr>
                <w:rFonts w:cs="Arial"/>
                <w:sz w:val="20"/>
                <w:lang w:eastAsia="en-GB"/>
              </w:rPr>
              <w:t>34</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Agree</w:t>
            </w:r>
          </w:p>
        </w:tc>
        <w:tc>
          <w:tcPr>
            <w:tcW w:w="3501" w:type="pct"/>
            <w:shd w:val="clear" w:color="auto" w:fill="auto"/>
            <w:noWrap/>
            <w:vAlign w:val="bottom"/>
            <w:hideMark/>
          </w:tcPr>
          <w:p w:rsidR="00D53DBA" w:rsidRPr="00D53DBA" w:rsidRDefault="00B33442" w:rsidP="00D53DBA">
            <w:pPr>
              <w:rPr>
                <w:rFonts w:cs="Arial"/>
                <w:sz w:val="20"/>
                <w:lang w:eastAsia="en-GB"/>
              </w:rPr>
            </w:pPr>
            <w:r>
              <w:rPr>
                <w:rFonts w:cs="Arial"/>
                <w:sz w:val="20"/>
                <w:lang w:eastAsia="en-GB"/>
              </w:rPr>
              <w:t>60</w:t>
            </w:r>
          </w:p>
        </w:tc>
      </w:tr>
      <w:tr w:rsidR="00D53DBA" w:rsidRPr="00D53DBA" w:rsidTr="004729C5">
        <w:trPr>
          <w:trHeight w:val="255"/>
        </w:trPr>
        <w:tc>
          <w:tcPr>
            <w:tcW w:w="1499" w:type="pct"/>
            <w:shd w:val="clear" w:color="auto" w:fill="auto"/>
            <w:noWrap/>
            <w:vAlign w:val="bottom"/>
            <w:hideMark/>
          </w:tcPr>
          <w:p w:rsidR="00D53DBA" w:rsidRPr="00D53DBA" w:rsidRDefault="00D53DBA" w:rsidP="00CF24C9">
            <w:pPr>
              <w:rPr>
                <w:rFonts w:cs="Arial"/>
                <w:sz w:val="20"/>
                <w:lang w:eastAsia="en-GB"/>
              </w:rPr>
            </w:pPr>
            <w:r w:rsidRPr="00D53DBA">
              <w:rPr>
                <w:rFonts w:cs="Arial"/>
                <w:sz w:val="20"/>
                <w:lang w:eastAsia="en-GB"/>
              </w:rPr>
              <w:t>Don't know</w:t>
            </w:r>
          </w:p>
        </w:tc>
        <w:tc>
          <w:tcPr>
            <w:tcW w:w="3501" w:type="pct"/>
            <w:shd w:val="clear" w:color="auto" w:fill="auto"/>
            <w:noWrap/>
            <w:vAlign w:val="bottom"/>
            <w:hideMark/>
          </w:tcPr>
          <w:p w:rsidR="00D53DBA" w:rsidRPr="00D53DBA" w:rsidRDefault="00D53DBA" w:rsidP="00B33442">
            <w:pPr>
              <w:rPr>
                <w:rFonts w:cs="Arial"/>
                <w:sz w:val="20"/>
                <w:lang w:eastAsia="en-GB"/>
              </w:rPr>
            </w:pPr>
            <w:r w:rsidRPr="00D53DBA">
              <w:rPr>
                <w:rFonts w:cs="Arial"/>
                <w:sz w:val="20"/>
                <w:lang w:eastAsia="en-GB"/>
              </w:rPr>
              <w:t>2</w:t>
            </w:r>
            <w:r w:rsidR="00B33442">
              <w:rPr>
                <w:rFonts w:cs="Arial"/>
                <w:sz w:val="20"/>
                <w:lang w:eastAsia="en-GB"/>
              </w:rPr>
              <w:t>9</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Disagree</w:t>
            </w:r>
          </w:p>
        </w:tc>
        <w:tc>
          <w:tcPr>
            <w:tcW w:w="3501"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10</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Strongly disagree</w:t>
            </w:r>
          </w:p>
        </w:tc>
        <w:tc>
          <w:tcPr>
            <w:tcW w:w="3501"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1</w:t>
            </w:r>
            <w:r w:rsidR="000012F5">
              <w:rPr>
                <w:rFonts w:cs="Arial"/>
                <w:sz w:val="20"/>
                <w:lang w:eastAsia="en-GB"/>
              </w:rPr>
              <w:t>8</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b/>
                <w:bCs/>
                <w:color w:val="000000"/>
                <w:sz w:val="20"/>
                <w:lang w:eastAsia="en-GB"/>
              </w:rPr>
            </w:pPr>
            <w:r w:rsidRPr="00D53DBA">
              <w:rPr>
                <w:rFonts w:cs="Arial"/>
                <w:b/>
                <w:bCs/>
                <w:color w:val="000000"/>
                <w:sz w:val="20"/>
                <w:lang w:eastAsia="en-GB"/>
              </w:rPr>
              <w:t>Grand Total</w:t>
            </w:r>
          </w:p>
        </w:tc>
        <w:tc>
          <w:tcPr>
            <w:tcW w:w="3501" w:type="pct"/>
            <w:shd w:val="clear" w:color="auto" w:fill="auto"/>
            <w:noWrap/>
            <w:vAlign w:val="bottom"/>
            <w:hideMark/>
          </w:tcPr>
          <w:p w:rsidR="00D53DBA" w:rsidRPr="00D53DBA" w:rsidRDefault="00D53DBA" w:rsidP="00B33442">
            <w:pPr>
              <w:rPr>
                <w:rFonts w:cs="Arial"/>
                <w:b/>
                <w:bCs/>
                <w:color w:val="000000"/>
                <w:sz w:val="20"/>
                <w:lang w:eastAsia="en-GB"/>
              </w:rPr>
            </w:pPr>
            <w:r w:rsidRPr="00D53DBA">
              <w:rPr>
                <w:rFonts w:cs="Arial"/>
                <w:b/>
                <w:bCs/>
                <w:color w:val="000000"/>
                <w:sz w:val="20"/>
                <w:lang w:eastAsia="en-GB"/>
              </w:rPr>
              <w:t>1</w:t>
            </w:r>
            <w:r w:rsidR="00B33442">
              <w:rPr>
                <w:rFonts w:cs="Arial"/>
                <w:b/>
                <w:bCs/>
                <w:color w:val="000000"/>
                <w:sz w:val="20"/>
                <w:lang w:eastAsia="en-GB"/>
              </w:rPr>
              <w:t>51</w:t>
            </w:r>
          </w:p>
        </w:tc>
      </w:tr>
    </w:tbl>
    <w:p w:rsidR="00B778F3" w:rsidRDefault="00B778F3" w:rsidP="00387704">
      <w:pPr>
        <w:rPr>
          <w:rFonts w:cs="Arial"/>
          <w:b/>
          <w:szCs w:val="24"/>
          <w:lang w:eastAsia="en-GB"/>
        </w:rPr>
      </w:pPr>
    </w:p>
    <w:p w:rsidR="00E97F4D" w:rsidRDefault="00E97F4D" w:rsidP="00E97F4D">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9</w:t>
      </w:r>
      <w:r w:rsidRPr="006D175A">
        <w:rPr>
          <w:i w:val="0"/>
          <w:szCs w:val="24"/>
        </w:rPr>
        <w:t xml:space="preserve"> asks </w:t>
      </w:r>
      <w:r>
        <w:rPr>
          <w:i w:val="0"/>
          <w:szCs w:val="24"/>
        </w:rPr>
        <w:t>specifically about the introduction of a new permit for traders</w:t>
      </w:r>
      <w:r w:rsidRPr="006D175A">
        <w:rPr>
          <w:i w:val="0"/>
          <w:szCs w:val="24"/>
        </w:rPr>
        <w:t xml:space="preserve">. Approximately </w:t>
      </w:r>
      <w:r w:rsidR="000012F5">
        <w:rPr>
          <w:i w:val="0"/>
          <w:szCs w:val="24"/>
        </w:rPr>
        <w:t>63</w:t>
      </w:r>
      <w:r w:rsidRPr="006D175A">
        <w:rPr>
          <w:i w:val="0"/>
          <w:szCs w:val="24"/>
        </w:rPr>
        <w:t>% of respondents agree with the</w:t>
      </w:r>
      <w:r w:rsidR="004456F5">
        <w:rPr>
          <w:i w:val="0"/>
          <w:szCs w:val="24"/>
        </w:rPr>
        <w:t xml:space="preserve"> proposal</w:t>
      </w:r>
      <w:r w:rsidRPr="006D175A">
        <w:rPr>
          <w:i w:val="0"/>
          <w:szCs w:val="24"/>
        </w:rPr>
        <w:t xml:space="preserve"> and </w:t>
      </w:r>
      <w:r>
        <w:rPr>
          <w:i w:val="0"/>
          <w:szCs w:val="24"/>
        </w:rPr>
        <w:t>19</w:t>
      </w:r>
      <w:r w:rsidRPr="006D175A">
        <w:rPr>
          <w:i w:val="0"/>
          <w:szCs w:val="24"/>
        </w:rPr>
        <w:t>% disagree.</w:t>
      </w:r>
      <w:r>
        <w:rPr>
          <w:i w:val="0"/>
          <w:szCs w:val="24"/>
        </w:rPr>
        <w:t xml:space="preserve"> It is clear that there is </w:t>
      </w:r>
      <w:r w:rsidR="00853462">
        <w:rPr>
          <w:i w:val="0"/>
          <w:szCs w:val="24"/>
        </w:rPr>
        <w:t xml:space="preserve">strong </w:t>
      </w:r>
      <w:r>
        <w:rPr>
          <w:i w:val="0"/>
          <w:szCs w:val="24"/>
        </w:rPr>
        <w:t>support for introducing trader permits.</w:t>
      </w:r>
    </w:p>
    <w:p w:rsidR="008A6EA5" w:rsidRDefault="008A6EA5" w:rsidP="008A6EA5">
      <w:pPr>
        <w:pStyle w:val="BodyText"/>
        <w:tabs>
          <w:tab w:val="left" w:pos="851"/>
        </w:tabs>
        <w:ind w:left="851"/>
        <w:rPr>
          <w:i w:val="0"/>
          <w:szCs w:val="24"/>
        </w:rPr>
      </w:pPr>
    </w:p>
    <w:sectPr w:rsidR="008A6EA5" w:rsidSect="00204ED0">
      <w:headerReference w:type="even" r:id="rId14"/>
      <w:headerReference w:type="default" r:id="rId15"/>
      <w:footerReference w:type="even" r:id="rId16"/>
      <w:footerReference w:type="default" r:id="rId17"/>
      <w:headerReference w:type="first" r:id="rId18"/>
      <w:footerReference w:type="first" r:id="rId19"/>
      <w:pgSz w:w="11909" w:h="16834" w:code="9"/>
      <w:pgMar w:top="1134" w:right="1134" w:bottom="1134" w:left="11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22" w:rsidRDefault="00E70322">
      <w:r>
        <w:separator/>
      </w:r>
    </w:p>
  </w:endnote>
  <w:endnote w:type="continuationSeparator" w:id="0">
    <w:p w:rsidR="00E70322" w:rsidRDefault="00E7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Pr="003F30AC" w:rsidRDefault="00E70322"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3F080A">
      <w:rPr>
        <w:noProof/>
      </w:rPr>
      <w:t>2</w:t>
    </w:r>
    <w:r w:rsidRPr="003F30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22" w:rsidRDefault="00E70322">
      <w:r>
        <w:separator/>
      </w:r>
    </w:p>
  </w:footnote>
  <w:footnote w:type="continuationSeparator" w:id="0">
    <w:p w:rsidR="00E70322" w:rsidRDefault="00E7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61111"/>
    <w:multiLevelType w:val="multilevel"/>
    <w:tmpl w:val="95289E92"/>
    <w:lvl w:ilvl="0">
      <w:start w:val="19"/>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6C373D"/>
    <w:multiLevelType w:val="multilevel"/>
    <w:tmpl w:val="2AB4B782"/>
    <w:lvl w:ilvl="0">
      <w:start w:val="1"/>
      <w:numFmt w:val="decimal"/>
      <w:lvlText w:val="%1."/>
      <w:lvlJc w:val="left"/>
      <w:pPr>
        <w:tabs>
          <w:tab w:val="num" w:pos="1446"/>
        </w:tabs>
        <w:ind w:left="1446" w:hanging="726"/>
      </w:pPr>
      <w:rPr>
        <w:rFonts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5FD43F8"/>
    <w:multiLevelType w:val="multilevel"/>
    <w:tmpl w:val="71D68C4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62D80"/>
    <w:multiLevelType w:val="hybridMultilevel"/>
    <w:tmpl w:val="96C6C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76F30"/>
    <w:multiLevelType w:val="hybridMultilevel"/>
    <w:tmpl w:val="B85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93BE1"/>
    <w:multiLevelType w:val="hybridMultilevel"/>
    <w:tmpl w:val="C246B1C2"/>
    <w:lvl w:ilvl="0" w:tplc="A72CC6FE">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A467C2"/>
    <w:multiLevelType w:val="multilevel"/>
    <w:tmpl w:val="827A2612"/>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723080"/>
    <w:multiLevelType w:val="hybridMultilevel"/>
    <w:tmpl w:val="9BE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BE48F5"/>
    <w:multiLevelType w:val="hybridMultilevel"/>
    <w:tmpl w:val="651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14"/>
  </w:num>
  <w:num w:numId="6">
    <w:abstractNumId w:val="6"/>
  </w:num>
  <w:num w:numId="7">
    <w:abstractNumId w:val="7"/>
  </w:num>
  <w:num w:numId="8">
    <w:abstractNumId w:val="15"/>
  </w:num>
  <w:num w:numId="9">
    <w:abstractNumId w:val="2"/>
  </w:num>
  <w:num w:numId="10">
    <w:abstractNumId w:val="8"/>
  </w:num>
  <w:num w:numId="11">
    <w:abstractNumId w:val="10"/>
  </w:num>
  <w:num w:numId="12">
    <w:abstractNumId w:val="4"/>
  </w:num>
  <w:num w:numId="13">
    <w:abstractNumId w:val="13"/>
  </w:num>
  <w:num w:numId="14">
    <w:abstractNumId w:val="3"/>
  </w:num>
  <w:num w:numId="15">
    <w:abstractNumId w:val="9"/>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2F5"/>
    <w:rsid w:val="0000168F"/>
    <w:rsid w:val="00004187"/>
    <w:rsid w:val="00006598"/>
    <w:rsid w:val="000072B6"/>
    <w:rsid w:val="00013A1D"/>
    <w:rsid w:val="00014731"/>
    <w:rsid w:val="00023CFC"/>
    <w:rsid w:val="000347C9"/>
    <w:rsid w:val="00036334"/>
    <w:rsid w:val="00036A4A"/>
    <w:rsid w:val="0004029A"/>
    <w:rsid w:val="000579A2"/>
    <w:rsid w:val="0006034E"/>
    <w:rsid w:val="00060A30"/>
    <w:rsid w:val="00063783"/>
    <w:rsid w:val="00064D0F"/>
    <w:rsid w:val="00066D33"/>
    <w:rsid w:val="00066E08"/>
    <w:rsid w:val="00070EC7"/>
    <w:rsid w:val="00073765"/>
    <w:rsid w:val="00077C2D"/>
    <w:rsid w:val="00080B5A"/>
    <w:rsid w:val="0008749E"/>
    <w:rsid w:val="00097C27"/>
    <w:rsid w:val="000A0271"/>
    <w:rsid w:val="000A134F"/>
    <w:rsid w:val="000A32E8"/>
    <w:rsid w:val="000B08CE"/>
    <w:rsid w:val="000B5015"/>
    <w:rsid w:val="000B54C0"/>
    <w:rsid w:val="000B788F"/>
    <w:rsid w:val="000C1AF8"/>
    <w:rsid w:val="000C26C5"/>
    <w:rsid w:val="000C2D15"/>
    <w:rsid w:val="000D0C50"/>
    <w:rsid w:val="000D2460"/>
    <w:rsid w:val="000D40D3"/>
    <w:rsid w:val="000D4E36"/>
    <w:rsid w:val="000D6646"/>
    <w:rsid w:val="000E62FE"/>
    <w:rsid w:val="000E69B2"/>
    <w:rsid w:val="000F3AE9"/>
    <w:rsid w:val="000F4B40"/>
    <w:rsid w:val="000F5917"/>
    <w:rsid w:val="00100E2C"/>
    <w:rsid w:val="00103DD2"/>
    <w:rsid w:val="00104621"/>
    <w:rsid w:val="00104AF4"/>
    <w:rsid w:val="00112DB1"/>
    <w:rsid w:val="001148C2"/>
    <w:rsid w:val="001161E4"/>
    <w:rsid w:val="0012126D"/>
    <w:rsid w:val="00125A26"/>
    <w:rsid w:val="00141F47"/>
    <w:rsid w:val="00145F3B"/>
    <w:rsid w:val="0014716D"/>
    <w:rsid w:val="00147A4D"/>
    <w:rsid w:val="0015376F"/>
    <w:rsid w:val="00153B07"/>
    <w:rsid w:val="0015571D"/>
    <w:rsid w:val="0016061B"/>
    <w:rsid w:val="00160975"/>
    <w:rsid w:val="001617F5"/>
    <w:rsid w:val="00163138"/>
    <w:rsid w:val="00171BD8"/>
    <w:rsid w:val="00175DED"/>
    <w:rsid w:val="00176294"/>
    <w:rsid w:val="0017638B"/>
    <w:rsid w:val="00176D97"/>
    <w:rsid w:val="001821FC"/>
    <w:rsid w:val="00182B01"/>
    <w:rsid w:val="001840D2"/>
    <w:rsid w:val="00186BAF"/>
    <w:rsid w:val="00192898"/>
    <w:rsid w:val="001956A8"/>
    <w:rsid w:val="001966D7"/>
    <w:rsid w:val="001B626B"/>
    <w:rsid w:val="001C3C75"/>
    <w:rsid w:val="001C41B8"/>
    <w:rsid w:val="001C4D2E"/>
    <w:rsid w:val="001C6A3F"/>
    <w:rsid w:val="001C7E35"/>
    <w:rsid w:val="001D6189"/>
    <w:rsid w:val="001E3C06"/>
    <w:rsid w:val="001E526A"/>
    <w:rsid w:val="001E7BD6"/>
    <w:rsid w:val="001F0BE9"/>
    <w:rsid w:val="001F43A0"/>
    <w:rsid w:val="001F5DFC"/>
    <w:rsid w:val="00200795"/>
    <w:rsid w:val="00201634"/>
    <w:rsid w:val="00202D79"/>
    <w:rsid w:val="00204ED0"/>
    <w:rsid w:val="00205D2F"/>
    <w:rsid w:val="002072E0"/>
    <w:rsid w:val="0020748D"/>
    <w:rsid w:val="00215E8F"/>
    <w:rsid w:val="00217F1F"/>
    <w:rsid w:val="00220B80"/>
    <w:rsid w:val="002249D8"/>
    <w:rsid w:val="0022581F"/>
    <w:rsid w:val="00227954"/>
    <w:rsid w:val="002312E4"/>
    <w:rsid w:val="002313E3"/>
    <w:rsid w:val="002322BB"/>
    <w:rsid w:val="00235F6F"/>
    <w:rsid w:val="00243436"/>
    <w:rsid w:val="00250987"/>
    <w:rsid w:val="002509C7"/>
    <w:rsid w:val="002514AF"/>
    <w:rsid w:val="002525C6"/>
    <w:rsid w:val="00253948"/>
    <w:rsid w:val="002548D1"/>
    <w:rsid w:val="00254B55"/>
    <w:rsid w:val="002567FC"/>
    <w:rsid w:val="00257597"/>
    <w:rsid w:val="00261F53"/>
    <w:rsid w:val="00265E71"/>
    <w:rsid w:val="0027283B"/>
    <w:rsid w:val="002773C7"/>
    <w:rsid w:val="0028019B"/>
    <w:rsid w:val="002808AB"/>
    <w:rsid w:val="00280C5E"/>
    <w:rsid w:val="00283524"/>
    <w:rsid w:val="00283CAB"/>
    <w:rsid w:val="00286994"/>
    <w:rsid w:val="00286A57"/>
    <w:rsid w:val="00290382"/>
    <w:rsid w:val="0029241F"/>
    <w:rsid w:val="002931D3"/>
    <w:rsid w:val="002A0E37"/>
    <w:rsid w:val="002A1612"/>
    <w:rsid w:val="002A2FE9"/>
    <w:rsid w:val="002A3FEF"/>
    <w:rsid w:val="002A7730"/>
    <w:rsid w:val="002B2C35"/>
    <w:rsid w:val="002B2E78"/>
    <w:rsid w:val="002B4929"/>
    <w:rsid w:val="002B54A6"/>
    <w:rsid w:val="002C24FA"/>
    <w:rsid w:val="002C4A08"/>
    <w:rsid w:val="002C4A3B"/>
    <w:rsid w:val="002C5060"/>
    <w:rsid w:val="002D1AA9"/>
    <w:rsid w:val="002D1B1B"/>
    <w:rsid w:val="002D5785"/>
    <w:rsid w:val="002D5A58"/>
    <w:rsid w:val="002E42F8"/>
    <w:rsid w:val="002F1F73"/>
    <w:rsid w:val="002F3EE9"/>
    <w:rsid w:val="00301628"/>
    <w:rsid w:val="003021A1"/>
    <w:rsid w:val="00306F94"/>
    <w:rsid w:val="00314028"/>
    <w:rsid w:val="00321FBB"/>
    <w:rsid w:val="00324445"/>
    <w:rsid w:val="00333FAA"/>
    <w:rsid w:val="003355D7"/>
    <w:rsid w:val="003426C9"/>
    <w:rsid w:val="00345A09"/>
    <w:rsid w:val="00357429"/>
    <w:rsid w:val="0036201C"/>
    <w:rsid w:val="003653BE"/>
    <w:rsid w:val="00372548"/>
    <w:rsid w:val="00376768"/>
    <w:rsid w:val="003776D1"/>
    <w:rsid w:val="00387704"/>
    <w:rsid w:val="003944AC"/>
    <w:rsid w:val="003A053D"/>
    <w:rsid w:val="003B48C3"/>
    <w:rsid w:val="003C6156"/>
    <w:rsid w:val="003C76A1"/>
    <w:rsid w:val="003D045B"/>
    <w:rsid w:val="003D41DB"/>
    <w:rsid w:val="003D63A5"/>
    <w:rsid w:val="003D6F42"/>
    <w:rsid w:val="003D7367"/>
    <w:rsid w:val="003F080A"/>
    <w:rsid w:val="003F3AFD"/>
    <w:rsid w:val="003F4158"/>
    <w:rsid w:val="003F4194"/>
    <w:rsid w:val="003F4675"/>
    <w:rsid w:val="003F5AA1"/>
    <w:rsid w:val="004076C8"/>
    <w:rsid w:val="0041324A"/>
    <w:rsid w:val="00413AF1"/>
    <w:rsid w:val="00414B35"/>
    <w:rsid w:val="00415EB4"/>
    <w:rsid w:val="004207E3"/>
    <w:rsid w:val="00421A4C"/>
    <w:rsid w:val="004238C2"/>
    <w:rsid w:val="004240B9"/>
    <w:rsid w:val="00430017"/>
    <w:rsid w:val="00430985"/>
    <w:rsid w:val="004363F7"/>
    <w:rsid w:val="0043676E"/>
    <w:rsid w:val="0044525C"/>
    <w:rsid w:val="004456F5"/>
    <w:rsid w:val="00450236"/>
    <w:rsid w:val="0045390B"/>
    <w:rsid w:val="00454461"/>
    <w:rsid w:val="004553F1"/>
    <w:rsid w:val="00457EB4"/>
    <w:rsid w:val="00464123"/>
    <w:rsid w:val="00466654"/>
    <w:rsid w:val="00471605"/>
    <w:rsid w:val="00471C1F"/>
    <w:rsid w:val="004729C5"/>
    <w:rsid w:val="00473EB8"/>
    <w:rsid w:val="004773EC"/>
    <w:rsid w:val="00480836"/>
    <w:rsid w:val="004809FA"/>
    <w:rsid w:val="0048266C"/>
    <w:rsid w:val="00491BEB"/>
    <w:rsid w:val="004B0894"/>
    <w:rsid w:val="004C4A75"/>
    <w:rsid w:val="004D0F1C"/>
    <w:rsid w:val="004D1E4E"/>
    <w:rsid w:val="004D2DA0"/>
    <w:rsid w:val="004D33DE"/>
    <w:rsid w:val="004D5500"/>
    <w:rsid w:val="004D5C45"/>
    <w:rsid w:val="004E14A4"/>
    <w:rsid w:val="004E1902"/>
    <w:rsid w:val="004E3FBC"/>
    <w:rsid w:val="004F53FB"/>
    <w:rsid w:val="004F56C5"/>
    <w:rsid w:val="004F5D7E"/>
    <w:rsid w:val="005074F1"/>
    <w:rsid w:val="005100D4"/>
    <w:rsid w:val="00510ECC"/>
    <w:rsid w:val="00511D52"/>
    <w:rsid w:val="00514A23"/>
    <w:rsid w:val="00520A3D"/>
    <w:rsid w:val="005305B5"/>
    <w:rsid w:val="005354D0"/>
    <w:rsid w:val="0054172C"/>
    <w:rsid w:val="00541E02"/>
    <w:rsid w:val="0054590F"/>
    <w:rsid w:val="005459EC"/>
    <w:rsid w:val="005468F4"/>
    <w:rsid w:val="00551898"/>
    <w:rsid w:val="00556C13"/>
    <w:rsid w:val="00561B77"/>
    <w:rsid w:val="0056223F"/>
    <w:rsid w:val="00562DDB"/>
    <w:rsid w:val="005718B5"/>
    <w:rsid w:val="00574628"/>
    <w:rsid w:val="00580087"/>
    <w:rsid w:val="005808FB"/>
    <w:rsid w:val="005811AC"/>
    <w:rsid w:val="00582605"/>
    <w:rsid w:val="00587C5E"/>
    <w:rsid w:val="00591016"/>
    <w:rsid w:val="005936EF"/>
    <w:rsid w:val="005B042D"/>
    <w:rsid w:val="005B3F67"/>
    <w:rsid w:val="005D346B"/>
    <w:rsid w:val="005D47FA"/>
    <w:rsid w:val="005D548F"/>
    <w:rsid w:val="005D6EF5"/>
    <w:rsid w:val="005E3A10"/>
    <w:rsid w:val="005E7509"/>
    <w:rsid w:val="005F3B2C"/>
    <w:rsid w:val="005F47FE"/>
    <w:rsid w:val="005F6D1B"/>
    <w:rsid w:val="005F78DE"/>
    <w:rsid w:val="00605F94"/>
    <w:rsid w:val="00606D01"/>
    <w:rsid w:val="00610537"/>
    <w:rsid w:val="00611DA6"/>
    <w:rsid w:val="0061281C"/>
    <w:rsid w:val="00625683"/>
    <w:rsid w:val="00630C5C"/>
    <w:rsid w:val="00634CE1"/>
    <w:rsid w:val="00653F36"/>
    <w:rsid w:val="00655044"/>
    <w:rsid w:val="00656DEA"/>
    <w:rsid w:val="006620D9"/>
    <w:rsid w:val="00665673"/>
    <w:rsid w:val="00666922"/>
    <w:rsid w:val="00670F17"/>
    <w:rsid w:val="006710C7"/>
    <w:rsid w:val="00687807"/>
    <w:rsid w:val="00687BBE"/>
    <w:rsid w:val="0069653F"/>
    <w:rsid w:val="00696A83"/>
    <w:rsid w:val="00697B9E"/>
    <w:rsid w:val="006A00F9"/>
    <w:rsid w:val="006A2222"/>
    <w:rsid w:val="006A2948"/>
    <w:rsid w:val="006A5B4B"/>
    <w:rsid w:val="006C580A"/>
    <w:rsid w:val="006C5D9B"/>
    <w:rsid w:val="006D175A"/>
    <w:rsid w:val="006D1E69"/>
    <w:rsid w:val="006D5534"/>
    <w:rsid w:val="006F057C"/>
    <w:rsid w:val="006F22DA"/>
    <w:rsid w:val="006F2E79"/>
    <w:rsid w:val="006F2EB3"/>
    <w:rsid w:val="006F4ED3"/>
    <w:rsid w:val="0070212A"/>
    <w:rsid w:val="00706480"/>
    <w:rsid w:val="007116B1"/>
    <w:rsid w:val="00712E7F"/>
    <w:rsid w:val="00714BEE"/>
    <w:rsid w:val="00721215"/>
    <w:rsid w:val="00721268"/>
    <w:rsid w:val="00721CB5"/>
    <w:rsid w:val="00722930"/>
    <w:rsid w:val="007236FE"/>
    <w:rsid w:val="007260C1"/>
    <w:rsid w:val="007319BE"/>
    <w:rsid w:val="00733EBB"/>
    <w:rsid w:val="007400CF"/>
    <w:rsid w:val="007436B1"/>
    <w:rsid w:val="00746BBB"/>
    <w:rsid w:val="007476C2"/>
    <w:rsid w:val="00750070"/>
    <w:rsid w:val="007517AC"/>
    <w:rsid w:val="0075517B"/>
    <w:rsid w:val="00767C4D"/>
    <w:rsid w:val="007701AC"/>
    <w:rsid w:val="00783D1D"/>
    <w:rsid w:val="007848D4"/>
    <w:rsid w:val="0079143C"/>
    <w:rsid w:val="007A105C"/>
    <w:rsid w:val="007A5FE6"/>
    <w:rsid w:val="007A67D1"/>
    <w:rsid w:val="007B1C28"/>
    <w:rsid w:val="007B23FC"/>
    <w:rsid w:val="007C0341"/>
    <w:rsid w:val="007C6AEC"/>
    <w:rsid w:val="007D0677"/>
    <w:rsid w:val="007D0C1D"/>
    <w:rsid w:val="007D299C"/>
    <w:rsid w:val="007D2E03"/>
    <w:rsid w:val="007D3614"/>
    <w:rsid w:val="007D4DBF"/>
    <w:rsid w:val="007D7CA8"/>
    <w:rsid w:val="007E291E"/>
    <w:rsid w:val="007E4732"/>
    <w:rsid w:val="007E4BA4"/>
    <w:rsid w:val="007E7FF5"/>
    <w:rsid w:val="007F004E"/>
    <w:rsid w:val="007F25E4"/>
    <w:rsid w:val="007F35D2"/>
    <w:rsid w:val="007F3B78"/>
    <w:rsid w:val="007F50DF"/>
    <w:rsid w:val="00801F90"/>
    <w:rsid w:val="00806606"/>
    <w:rsid w:val="00811DF8"/>
    <w:rsid w:val="00812901"/>
    <w:rsid w:val="00821ED2"/>
    <w:rsid w:val="00826B9A"/>
    <w:rsid w:val="00845190"/>
    <w:rsid w:val="00846312"/>
    <w:rsid w:val="00847DFE"/>
    <w:rsid w:val="0085266D"/>
    <w:rsid w:val="00853462"/>
    <w:rsid w:val="0085775A"/>
    <w:rsid w:val="00860B98"/>
    <w:rsid w:val="0086723C"/>
    <w:rsid w:val="00874836"/>
    <w:rsid w:val="00881B8F"/>
    <w:rsid w:val="00884600"/>
    <w:rsid w:val="00885DEE"/>
    <w:rsid w:val="00892962"/>
    <w:rsid w:val="0089624D"/>
    <w:rsid w:val="008A0E65"/>
    <w:rsid w:val="008A3F80"/>
    <w:rsid w:val="008A47F4"/>
    <w:rsid w:val="008A4AB8"/>
    <w:rsid w:val="008A6389"/>
    <w:rsid w:val="008A6EA5"/>
    <w:rsid w:val="008B5672"/>
    <w:rsid w:val="008C2D53"/>
    <w:rsid w:val="008C35BE"/>
    <w:rsid w:val="008C6BA7"/>
    <w:rsid w:val="008E0303"/>
    <w:rsid w:val="008E224D"/>
    <w:rsid w:val="008E2932"/>
    <w:rsid w:val="008E4F6F"/>
    <w:rsid w:val="008F1D3B"/>
    <w:rsid w:val="008F2D37"/>
    <w:rsid w:val="00904FBC"/>
    <w:rsid w:val="00910CC7"/>
    <w:rsid w:val="00917A60"/>
    <w:rsid w:val="0092074E"/>
    <w:rsid w:val="0092484E"/>
    <w:rsid w:val="0092530B"/>
    <w:rsid w:val="00927010"/>
    <w:rsid w:val="00927AD2"/>
    <w:rsid w:val="00934CCC"/>
    <w:rsid w:val="00935267"/>
    <w:rsid w:val="009353E2"/>
    <w:rsid w:val="0094208C"/>
    <w:rsid w:val="009423B3"/>
    <w:rsid w:val="00942F17"/>
    <w:rsid w:val="00944F72"/>
    <w:rsid w:val="009509B5"/>
    <w:rsid w:val="00951509"/>
    <w:rsid w:val="00952CEF"/>
    <w:rsid w:val="00955E2F"/>
    <w:rsid w:val="00964F01"/>
    <w:rsid w:val="00966743"/>
    <w:rsid w:val="0097183E"/>
    <w:rsid w:val="009815D4"/>
    <w:rsid w:val="0098173C"/>
    <w:rsid w:val="009817A2"/>
    <w:rsid w:val="00984654"/>
    <w:rsid w:val="00985687"/>
    <w:rsid w:val="0099076E"/>
    <w:rsid w:val="00990E9C"/>
    <w:rsid w:val="009935C8"/>
    <w:rsid w:val="00994542"/>
    <w:rsid w:val="00994908"/>
    <w:rsid w:val="009A1B0E"/>
    <w:rsid w:val="009A28E5"/>
    <w:rsid w:val="009A2EE0"/>
    <w:rsid w:val="009A7C4F"/>
    <w:rsid w:val="009B160B"/>
    <w:rsid w:val="009C0463"/>
    <w:rsid w:val="009C0993"/>
    <w:rsid w:val="009C0ECE"/>
    <w:rsid w:val="009C237B"/>
    <w:rsid w:val="009C3382"/>
    <w:rsid w:val="009D51C1"/>
    <w:rsid w:val="009E5A93"/>
    <w:rsid w:val="009F54EB"/>
    <w:rsid w:val="009F6B1C"/>
    <w:rsid w:val="009F7251"/>
    <w:rsid w:val="00A00E32"/>
    <w:rsid w:val="00A12B90"/>
    <w:rsid w:val="00A1525B"/>
    <w:rsid w:val="00A16D60"/>
    <w:rsid w:val="00A17CF8"/>
    <w:rsid w:val="00A20113"/>
    <w:rsid w:val="00A2215F"/>
    <w:rsid w:val="00A22218"/>
    <w:rsid w:val="00A22537"/>
    <w:rsid w:val="00A22839"/>
    <w:rsid w:val="00A2347A"/>
    <w:rsid w:val="00A25041"/>
    <w:rsid w:val="00A32266"/>
    <w:rsid w:val="00A33185"/>
    <w:rsid w:val="00A35537"/>
    <w:rsid w:val="00A35E1E"/>
    <w:rsid w:val="00A53B04"/>
    <w:rsid w:val="00A600FD"/>
    <w:rsid w:val="00A614EC"/>
    <w:rsid w:val="00A63923"/>
    <w:rsid w:val="00A661F4"/>
    <w:rsid w:val="00A71333"/>
    <w:rsid w:val="00A7271A"/>
    <w:rsid w:val="00A73127"/>
    <w:rsid w:val="00A73BDF"/>
    <w:rsid w:val="00A74625"/>
    <w:rsid w:val="00A74B48"/>
    <w:rsid w:val="00A7570C"/>
    <w:rsid w:val="00A80066"/>
    <w:rsid w:val="00A81E19"/>
    <w:rsid w:val="00A825CF"/>
    <w:rsid w:val="00A871E9"/>
    <w:rsid w:val="00A94539"/>
    <w:rsid w:val="00A94F85"/>
    <w:rsid w:val="00AA2C1B"/>
    <w:rsid w:val="00AA3F48"/>
    <w:rsid w:val="00AB031B"/>
    <w:rsid w:val="00AB795F"/>
    <w:rsid w:val="00AB7E20"/>
    <w:rsid w:val="00AC289B"/>
    <w:rsid w:val="00AC4192"/>
    <w:rsid w:val="00AC5FB2"/>
    <w:rsid w:val="00AC623C"/>
    <w:rsid w:val="00AC6312"/>
    <w:rsid w:val="00AD0260"/>
    <w:rsid w:val="00AD1425"/>
    <w:rsid w:val="00AD7127"/>
    <w:rsid w:val="00AE0E02"/>
    <w:rsid w:val="00AE1FEE"/>
    <w:rsid w:val="00AF2447"/>
    <w:rsid w:val="00AF3EB6"/>
    <w:rsid w:val="00B00971"/>
    <w:rsid w:val="00B01D01"/>
    <w:rsid w:val="00B026A8"/>
    <w:rsid w:val="00B1160D"/>
    <w:rsid w:val="00B1177C"/>
    <w:rsid w:val="00B33442"/>
    <w:rsid w:val="00B339F6"/>
    <w:rsid w:val="00B343C0"/>
    <w:rsid w:val="00B36C4C"/>
    <w:rsid w:val="00B40D8D"/>
    <w:rsid w:val="00B41704"/>
    <w:rsid w:val="00B42B8D"/>
    <w:rsid w:val="00B4353B"/>
    <w:rsid w:val="00B444E6"/>
    <w:rsid w:val="00B45052"/>
    <w:rsid w:val="00B46D8E"/>
    <w:rsid w:val="00B50ADF"/>
    <w:rsid w:val="00B52011"/>
    <w:rsid w:val="00B53EFF"/>
    <w:rsid w:val="00B54AFA"/>
    <w:rsid w:val="00B60F0E"/>
    <w:rsid w:val="00B671A4"/>
    <w:rsid w:val="00B72464"/>
    <w:rsid w:val="00B72A08"/>
    <w:rsid w:val="00B778F3"/>
    <w:rsid w:val="00B804E8"/>
    <w:rsid w:val="00B84AE6"/>
    <w:rsid w:val="00B87536"/>
    <w:rsid w:val="00B90BE4"/>
    <w:rsid w:val="00BA0AB6"/>
    <w:rsid w:val="00BA0B63"/>
    <w:rsid w:val="00BA55F3"/>
    <w:rsid w:val="00BB07FC"/>
    <w:rsid w:val="00BB272C"/>
    <w:rsid w:val="00BB5B0A"/>
    <w:rsid w:val="00BC206C"/>
    <w:rsid w:val="00BC39EE"/>
    <w:rsid w:val="00BC458C"/>
    <w:rsid w:val="00BC5820"/>
    <w:rsid w:val="00BD6376"/>
    <w:rsid w:val="00BE2547"/>
    <w:rsid w:val="00BE410E"/>
    <w:rsid w:val="00BE7BBA"/>
    <w:rsid w:val="00BF2CEE"/>
    <w:rsid w:val="00BF6DA1"/>
    <w:rsid w:val="00C01A35"/>
    <w:rsid w:val="00C0232E"/>
    <w:rsid w:val="00C03772"/>
    <w:rsid w:val="00C03A0B"/>
    <w:rsid w:val="00C10AA8"/>
    <w:rsid w:val="00C1252D"/>
    <w:rsid w:val="00C24426"/>
    <w:rsid w:val="00C26A5F"/>
    <w:rsid w:val="00C26D9E"/>
    <w:rsid w:val="00C27594"/>
    <w:rsid w:val="00C35130"/>
    <w:rsid w:val="00C462FB"/>
    <w:rsid w:val="00C47D4C"/>
    <w:rsid w:val="00C5302B"/>
    <w:rsid w:val="00C57267"/>
    <w:rsid w:val="00C60C05"/>
    <w:rsid w:val="00C62B63"/>
    <w:rsid w:val="00C72B5B"/>
    <w:rsid w:val="00C73657"/>
    <w:rsid w:val="00C862A4"/>
    <w:rsid w:val="00C86BB0"/>
    <w:rsid w:val="00C93AE0"/>
    <w:rsid w:val="00C96637"/>
    <w:rsid w:val="00C979B4"/>
    <w:rsid w:val="00C97A7F"/>
    <w:rsid w:val="00CA3C84"/>
    <w:rsid w:val="00CC17A2"/>
    <w:rsid w:val="00CC7D3F"/>
    <w:rsid w:val="00CD3DCA"/>
    <w:rsid w:val="00CD4411"/>
    <w:rsid w:val="00CD7D5D"/>
    <w:rsid w:val="00CF0FC4"/>
    <w:rsid w:val="00CF18F0"/>
    <w:rsid w:val="00CF24C9"/>
    <w:rsid w:val="00CF34FB"/>
    <w:rsid w:val="00CF6932"/>
    <w:rsid w:val="00CF7C40"/>
    <w:rsid w:val="00D01FE3"/>
    <w:rsid w:val="00D06822"/>
    <w:rsid w:val="00D06CA3"/>
    <w:rsid w:val="00D072F5"/>
    <w:rsid w:val="00D16F5A"/>
    <w:rsid w:val="00D170E5"/>
    <w:rsid w:val="00D17D72"/>
    <w:rsid w:val="00D21131"/>
    <w:rsid w:val="00D21B14"/>
    <w:rsid w:val="00D26CE4"/>
    <w:rsid w:val="00D2758E"/>
    <w:rsid w:val="00D3139E"/>
    <w:rsid w:val="00D31E31"/>
    <w:rsid w:val="00D326ED"/>
    <w:rsid w:val="00D34350"/>
    <w:rsid w:val="00D37F2F"/>
    <w:rsid w:val="00D42207"/>
    <w:rsid w:val="00D452D6"/>
    <w:rsid w:val="00D50031"/>
    <w:rsid w:val="00D528E8"/>
    <w:rsid w:val="00D53DBA"/>
    <w:rsid w:val="00D57427"/>
    <w:rsid w:val="00D64ACA"/>
    <w:rsid w:val="00D659C2"/>
    <w:rsid w:val="00D6797C"/>
    <w:rsid w:val="00D7019A"/>
    <w:rsid w:val="00D771D0"/>
    <w:rsid w:val="00D835CF"/>
    <w:rsid w:val="00D92463"/>
    <w:rsid w:val="00D939E8"/>
    <w:rsid w:val="00D97EC8"/>
    <w:rsid w:val="00DA26FB"/>
    <w:rsid w:val="00DA5BCD"/>
    <w:rsid w:val="00DA5EB9"/>
    <w:rsid w:val="00DB6C3D"/>
    <w:rsid w:val="00DC5ACF"/>
    <w:rsid w:val="00DD0E2F"/>
    <w:rsid w:val="00DD7468"/>
    <w:rsid w:val="00DE25E9"/>
    <w:rsid w:val="00DE5863"/>
    <w:rsid w:val="00DE594D"/>
    <w:rsid w:val="00DE71D3"/>
    <w:rsid w:val="00DE72CF"/>
    <w:rsid w:val="00DF0655"/>
    <w:rsid w:val="00DF08A0"/>
    <w:rsid w:val="00E03737"/>
    <w:rsid w:val="00E05B69"/>
    <w:rsid w:val="00E07023"/>
    <w:rsid w:val="00E07D33"/>
    <w:rsid w:val="00E10DFE"/>
    <w:rsid w:val="00E129F5"/>
    <w:rsid w:val="00E20D05"/>
    <w:rsid w:val="00E24585"/>
    <w:rsid w:val="00E36BE0"/>
    <w:rsid w:val="00E37D83"/>
    <w:rsid w:val="00E37F95"/>
    <w:rsid w:val="00E4323C"/>
    <w:rsid w:val="00E4412F"/>
    <w:rsid w:val="00E521FB"/>
    <w:rsid w:val="00E54B3D"/>
    <w:rsid w:val="00E550E7"/>
    <w:rsid w:val="00E63027"/>
    <w:rsid w:val="00E646D1"/>
    <w:rsid w:val="00E64D39"/>
    <w:rsid w:val="00E66446"/>
    <w:rsid w:val="00E668B4"/>
    <w:rsid w:val="00E67F20"/>
    <w:rsid w:val="00E70322"/>
    <w:rsid w:val="00E70760"/>
    <w:rsid w:val="00E76F8C"/>
    <w:rsid w:val="00E81561"/>
    <w:rsid w:val="00E83499"/>
    <w:rsid w:val="00E836AD"/>
    <w:rsid w:val="00E85F69"/>
    <w:rsid w:val="00E9253C"/>
    <w:rsid w:val="00E966A5"/>
    <w:rsid w:val="00E96CAC"/>
    <w:rsid w:val="00E97F4D"/>
    <w:rsid w:val="00EA62B8"/>
    <w:rsid w:val="00EB45B5"/>
    <w:rsid w:val="00EB470F"/>
    <w:rsid w:val="00EB5E57"/>
    <w:rsid w:val="00EB61DB"/>
    <w:rsid w:val="00EB796D"/>
    <w:rsid w:val="00EB7AAA"/>
    <w:rsid w:val="00ED32D8"/>
    <w:rsid w:val="00ED4AFD"/>
    <w:rsid w:val="00EE3DAE"/>
    <w:rsid w:val="00EE4FBE"/>
    <w:rsid w:val="00EE5C2C"/>
    <w:rsid w:val="00EE7DD9"/>
    <w:rsid w:val="00EF5A3C"/>
    <w:rsid w:val="00F01D47"/>
    <w:rsid w:val="00F07FCB"/>
    <w:rsid w:val="00F10D5E"/>
    <w:rsid w:val="00F113CF"/>
    <w:rsid w:val="00F11FDD"/>
    <w:rsid w:val="00F21033"/>
    <w:rsid w:val="00F26E5C"/>
    <w:rsid w:val="00F30E78"/>
    <w:rsid w:val="00F40342"/>
    <w:rsid w:val="00F5153A"/>
    <w:rsid w:val="00F5559B"/>
    <w:rsid w:val="00F5649A"/>
    <w:rsid w:val="00F5670F"/>
    <w:rsid w:val="00F60C23"/>
    <w:rsid w:val="00F629F5"/>
    <w:rsid w:val="00F63BA3"/>
    <w:rsid w:val="00F67045"/>
    <w:rsid w:val="00F671AB"/>
    <w:rsid w:val="00F67DC5"/>
    <w:rsid w:val="00F724FB"/>
    <w:rsid w:val="00F73C57"/>
    <w:rsid w:val="00F76A82"/>
    <w:rsid w:val="00F82342"/>
    <w:rsid w:val="00F840C9"/>
    <w:rsid w:val="00F91AE4"/>
    <w:rsid w:val="00F91D1C"/>
    <w:rsid w:val="00F93C8B"/>
    <w:rsid w:val="00F959DD"/>
    <w:rsid w:val="00F960D5"/>
    <w:rsid w:val="00FA0685"/>
    <w:rsid w:val="00FA0799"/>
    <w:rsid w:val="00FA2A2C"/>
    <w:rsid w:val="00FA4B49"/>
    <w:rsid w:val="00FB1231"/>
    <w:rsid w:val="00FB1CA1"/>
    <w:rsid w:val="00FB1FFE"/>
    <w:rsid w:val="00FB5CC7"/>
    <w:rsid w:val="00FC0176"/>
    <w:rsid w:val="00FC164D"/>
    <w:rsid w:val="00FC1C5C"/>
    <w:rsid w:val="00FC36D1"/>
    <w:rsid w:val="00FC6B8A"/>
    <w:rsid w:val="00FD07D0"/>
    <w:rsid w:val="00FD7421"/>
    <w:rsid w:val="00FE17E2"/>
    <w:rsid w:val="00FE3E63"/>
    <w:rsid w:val="00FE56F9"/>
    <w:rsid w:val="00FF1245"/>
    <w:rsid w:val="00FF1E70"/>
    <w:rsid w:val="00FF477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204030075">
      <w:bodyDiv w:val="1"/>
      <w:marLeft w:val="0"/>
      <w:marRight w:val="0"/>
      <w:marTop w:val="0"/>
      <w:marBottom w:val="0"/>
      <w:divBdr>
        <w:top w:val="none" w:sz="0" w:space="0" w:color="auto"/>
        <w:left w:val="none" w:sz="0" w:space="0" w:color="auto"/>
        <w:bottom w:val="none" w:sz="0" w:space="0" w:color="auto"/>
        <w:right w:val="none" w:sz="0" w:space="0" w:color="auto"/>
      </w:divBdr>
    </w:div>
    <w:div w:id="352457341">
      <w:bodyDiv w:val="1"/>
      <w:marLeft w:val="0"/>
      <w:marRight w:val="0"/>
      <w:marTop w:val="0"/>
      <w:marBottom w:val="0"/>
      <w:divBdr>
        <w:top w:val="none" w:sz="0" w:space="0" w:color="auto"/>
        <w:left w:val="none" w:sz="0" w:space="0" w:color="auto"/>
        <w:bottom w:val="none" w:sz="0" w:space="0" w:color="auto"/>
        <w:right w:val="none" w:sz="0" w:space="0" w:color="auto"/>
      </w:divBdr>
    </w:div>
    <w:div w:id="377558960">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3861849">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627514236">
      <w:bodyDiv w:val="1"/>
      <w:marLeft w:val="0"/>
      <w:marRight w:val="0"/>
      <w:marTop w:val="0"/>
      <w:marBottom w:val="0"/>
      <w:divBdr>
        <w:top w:val="none" w:sz="0" w:space="0" w:color="auto"/>
        <w:left w:val="none" w:sz="0" w:space="0" w:color="auto"/>
        <w:bottom w:val="none" w:sz="0" w:space="0" w:color="auto"/>
        <w:right w:val="none" w:sz="0" w:space="0" w:color="auto"/>
      </w:divBdr>
    </w:div>
    <w:div w:id="65564472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30342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32926024">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0642241">
      <w:bodyDiv w:val="1"/>
      <w:marLeft w:val="0"/>
      <w:marRight w:val="0"/>
      <w:marTop w:val="0"/>
      <w:marBottom w:val="0"/>
      <w:divBdr>
        <w:top w:val="none" w:sz="0" w:space="0" w:color="auto"/>
        <w:left w:val="none" w:sz="0" w:space="0" w:color="auto"/>
        <w:bottom w:val="none" w:sz="0" w:space="0" w:color="auto"/>
        <w:right w:val="none" w:sz="0" w:space="0" w:color="auto"/>
      </w:divBdr>
    </w:div>
    <w:div w:id="1102798040">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37726429">
      <w:bodyDiv w:val="1"/>
      <w:marLeft w:val="0"/>
      <w:marRight w:val="0"/>
      <w:marTop w:val="0"/>
      <w:marBottom w:val="0"/>
      <w:divBdr>
        <w:top w:val="none" w:sz="0" w:space="0" w:color="auto"/>
        <w:left w:val="none" w:sz="0" w:space="0" w:color="auto"/>
        <w:bottom w:val="none" w:sz="0" w:space="0" w:color="auto"/>
        <w:right w:val="none" w:sz="0" w:space="0" w:color="auto"/>
      </w:divBdr>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 w:id="1760060049">
      <w:bodyDiv w:val="1"/>
      <w:marLeft w:val="0"/>
      <w:marRight w:val="0"/>
      <w:marTop w:val="0"/>
      <w:marBottom w:val="0"/>
      <w:divBdr>
        <w:top w:val="none" w:sz="0" w:space="0" w:color="auto"/>
        <w:left w:val="none" w:sz="0" w:space="0" w:color="auto"/>
        <w:bottom w:val="none" w:sz="0" w:space="0" w:color="auto"/>
        <w:right w:val="none" w:sz="0" w:space="0" w:color="auto"/>
      </w:divBdr>
    </w:div>
    <w:div w:id="21054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8AB1A393-5E40-491D-8FD9-D80983470C02}">
  <ds:schemaRefs>
    <ds:schemaRef ds:uri="http://schemas.openxmlformats.org/package/2006/metadata/core-properties"/>
    <ds:schemaRef ds:uri="http://schemas.microsoft.com/office/2006/documentManagement/types"/>
    <ds:schemaRef ds:uri="54c1341a-f0b2-450a-9883-97eea039321e"/>
    <ds:schemaRef ds:uri="http://schemas.microsoft.com/office/infopath/2007/PartnerControls"/>
    <ds:schemaRef ds:uri="http://purl.org/dc/elements/1.1/"/>
    <ds:schemaRef ds:uri="http://schemas.microsoft.com/office/2006/metadata/properties"/>
    <ds:schemaRef ds:uri="e48e9339-ef40-4192-ab59-a15ba558275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0C4C2D-6E0C-44EC-ADC2-AAC738F6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985</Words>
  <Characters>5079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6052</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deaglesh</cp:lastModifiedBy>
  <cp:revision>10</cp:revision>
  <cp:lastPrinted>2018-08-02T09:39:00Z</cp:lastPrinted>
  <dcterms:created xsi:type="dcterms:W3CDTF">2019-10-21T15:40:00Z</dcterms:created>
  <dcterms:modified xsi:type="dcterms:W3CDTF">2019-10-21T15:57:00Z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